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0E11D" w14:textId="67773DA1" w:rsidR="005D783E" w:rsidRPr="00B903CC" w:rsidRDefault="005D783E" w:rsidP="003C338F">
      <w:pPr>
        <w:tabs>
          <w:tab w:val="left" w:pos="474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14:paraId="39E9118B" w14:textId="561C5F5A" w:rsidR="00617533" w:rsidRPr="00B903CC" w:rsidRDefault="00492065" w:rsidP="008609CB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903CC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982D471" wp14:editId="528F6F1F">
            <wp:extent cx="3946525" cy="1578436"/>
            <wp:effectExtent l="0" t="0" r="0" b="0"/>
            <wp:docPr id="1" name="Picture 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SOL Europe Logo RGB Small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933" cy="1604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2CC93" w14:textId="77777777" w:rsidR="00617533" w:rsidRPr="00B903CC" w:rsidRDefault="00617533" w:rsidP="008609CB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C7EFD65" w14:textId="35CB262C" w:rsidR="00617533" w:rsidRPr="00B903CC" w:rsidRDefault="00617533" w:rsidP="008609CB">
      <w:pPr>
        <w:spacing w:after="0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B903CC">
        <w:rPr>
          <w:rFonts w:ascii="Times New Roman" w:hAnsi="Times New Roman"/>
          <w:b/>
          <w:sz w:val="36"/>
          <w:szCs w:val="36"/>
        </w:rPr>
        <w:t xml:space="preserve">Inside Story – </w:t>
      </w:r>
      <w:r w:rsidR="000F0420">
        <w:rPr>
          <w:rFonts w:ascii="Times New Roman" w:hAnsi="Times New Roman"/>
          <w:b/>
          <w:sz w:val="36"/>
          <w:szCs w:val="36"/>
        </w:rPr>
        <w:t>April</w:t>
      </w:r>
      <w:r w:rsidR="00786CA6" w:rsidRPr="00B903CC">
        <w:rPr>
          <w:rFonts w:ascii="Times New Roman" w:hAnsi="Times New Roman"/>
          <w:b/>
          <w:sz w:val="36"/>
          <w:szCs w:val="36"/>
        </w:rPr>
        <w:t xml:space="preserve"> </w:t>
      </w:r>
      <w:r w:rsidRPr="00B903CC">
        <w:rPr>
          <w:rFonts w:ascii="Times New Roman" w:hAnsi="Times New Roman"/>
          <w:b/>
          <w:sz w:val="36"/>
          <w:szCs w:val="36"/>
        </w:rPr>
        <w:t>20</w:t>
      </w:r>
      <w:r w:rsidR="00782731" w:rsidRPr="00B903CC">
        <w:rPr>
          <w:rFonts w:ascii="Times New Roman" w:hAnsi="Times New Roman"/>
          <w:b/>
          <w:sz w:val="36"/>
          <w:szCs w:val="36"/>
        </w:rPr>
        <w:t>2</w:t>
      </w:r>
      <w:r w:rsidR="00D10A38">
        <w:rPr>
          <w:rFonts w:ascii="Times New Roman" w:hAnsi="Times New Roman"/>
          <w:b/>
          <w:sz w:val="36"/>
          <w:szCs w:val="36"/>
        </w:rPr>
        <w:t>5</w:t>
      </w:r>
    </w:p>
    <w:p w14:paraId="1ECBC4F0" w14:textId="77777777" w:rsidR="00617533" w:rsidRPr="00B903CC" w:rsidRDefault="00617533" w:rsidP="008609CB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5DFE654" w14:textId="190EDCBF" w:rsidR="00E71E7B" w:rsidRPr="000F0420" w:rsidRDefault="000F0420" w:rsidP="008609CB">
      <w:pPr>
        <w:spacing w:after="0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 w:rsidRPr="000F0420">
        <w:rPr>
          <w:rFonts w:ascii="Times New Roman" w:hAnsi="Times New Roman"/>
          <w:b/>
          <w:bCs/>
          <w:sz w:val="32"/>
          <w:szCs w:val="32"/>
          <w:lang w:val="en-US"/>
        </w:rPr>
        <w:t xml:space="preserve">Mapping Grey Areas in International Legal Approaches to 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t</w:t>
      </w:r>
      <w:r w:rsidRPr="000F0420">
        <w:rPr>
          <w:rFonts w:ascii="Times New Roman" w:hAnsi="Times New Roman"/>
          <w:b/>
          <w:bCs/>
          <w:sz w:val="32"/>
          <w:szCs w:val="32"/>
          <w:lang w:val="en-US"/>
        </w:rPr>
        <w:t>he Failure of Crypto Firms</w:t>
      </w:r>
    </w:p>
    <w:p w14:paraId="2697BF1D" w14:textId="77777777" w:rsidR="000F0420" w:rsidRDefault="000F0420" w:rsidP="000F0420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0DAE9D3B" w14:textId="367AF863" w:rsidR="0011226B" w:rsidRPr="00FA6321" w:rsidRDefault="000F0420" w:rsidP="000F0420">
      <w:pPr>
        <w:pStyle w:val="NoSpacing"/>
        <w:jc w:val="center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>Rebecca Parry, Professor, Nottingham Law School, UK</w:t>
      </w:r>
      <w:r w:rsidR="00D10A38" w:rsidRPr="00FA6321">
        <w:rPr>
          <w:rFonts w:ascii="Times New Roman" w:hAnsi="Times New Roman" w:cs="Times New Roman"/>
          <w:i/>
          <w:sz w:val="24"/>
          <w:szCs w:val="24"/>
          <w:lang w:val="en-GB"/>
        </w:rPr>
        <w:t>. Email: &lt;</w:t>
      </w:r>
      <w:r>
        <w:rPr>
          <w:rFonts w:ascii="Times New Roman" w:hAnsi="Times New Roman" w:cs="Times New Roman"/>
          <w:i/>
          <w:sz w:val="24"/>
          <w:szCs w:val="24"/>
        </w:rPr>
        <w:t>rebecca.parry</w:t>
      </w:r>
      <w:r w:rsidR="00FA6321" w:rsidRPr="00FA6321">
        <w:rPr>
          <w:rFonts w:ascii="Times New Roman" w:hAnsi="Times New Roman" w:cs="Times New Roman"/>
          <w:i/>
          <w:sz w:val="24"/>
          <w:szCs w:val="24"/>
        </w:rPr>
        <w:t>@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 w:rsidR="00FA6321" w:rsidRPr="00FA6321">
        <w:rPr>
          <w:rFonts w:ascii="Times New Roman" w:hAnsi="Times New Roman" w:cs="Times New Roman"/>
          <w:i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u.ac.uk</w:t>
      </w:r>
      <w:r w:rsidR="00D10A38" w:rsidRPr="00FA6321">
        <w:rPr>
          <w:rFonts w:ascii="Times New Roman" w:hAnsi="Times New Roman" w:cs="Times New Roman"/>
          <w:i/>
          <w:sz w:val="24"/>
          <w:szCs w:val="24"/>
          <w:lang w:val="en-GB"/>
        </w:rPr>
        <w:t>&gt;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.</w:t>
      </w:r>
    </w:p>
    <w:p w14:paraId="127C267D" w14:textId="065BE9D9" w:rsidR="00E71E7B" w:rsidRDefault="00E71E7B" w:rsidP="00FA6321">
      <w:pPr>
        <w:spacing w:after="0"/>
        <w:contextualSpacing/>
        <w:rPr>
          <w:rFonts w:ascii="Times New Roman" w:hAnsi="Times New Roman"/>
          <w:i/>
          <w:sz w:val="24"/>
          <w:szCs w:val="24"/>
        </w:rPr>
      </w:pPr>
    </w:p>
    <w:p w14:paraId="0F26CF73" w14:textId="77777777" w:rsidR="000F0420" w:rsidRPr="00FA6321" w:rsidRDefault="000F0420" w:rsidP="00FA6321">
      <w:pPr>
        <w:spacing w:after="0"/>
        <w:contextualSpacing/>
        <w:rPr>
          <w:rFonts w:ascii="Times New Roman" w:hAnsi="Times New Roman"/>
          <w:i/>
          <w:sz w:val="24"/>
          <w:szCs w:val="24"/>
        </w:rPr>
      </w:pPr>
    </w:p>
    <w:p w14:paraId="39F0D831" w14:textId="1242C9C4" w:rsidR="00FA6321" w:rsidRPr="000F0420" w:rsidRDefault="00FA6321" w:rsidP="000F0420">
      <w:pPr>
        <w:pStyle w:val="Heading2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0F0420">
        <w:rPr>
          <w:rFonts w:ascii="Times New Roman" w:hAnsi="Times New Roman" w:cs="Times New Roman"/>
          <w:b w:val="0"/>
          <w:bCs w:val="0"/>
          <w:sz w:val="24"/>
          <w:szCs w:val="24"/>
        </w:rPr>
        <w:t>Introduction</w:t>
      </w:r>
    </w:p>
    <w:p w14:paraId="67A29F73" w14:textId="77777777" w:rsidR="00FA6321" w:rsidRPr="000F0420" w:rsidRDefault="00FA6321" w:rsidP="000F0420">
      <w:pPr>
        <w:spacing w:after="0"/>
        <w:rPr>
          <w:rFonts w:ascii="Times New Roman" w:hAnsi="Times New Roman"/>
          <w:sz w:val="24"/>
          <w:szCs w:val="24"/>
        </w:rPr>
      </w:pPr>
    </w:p>
    <w:p w14:paraId="5654BE13" w14:textId="35261323" w:rsidR="000F0420" w:rsidRPr="000F0420" w:rsidRDefault="000F0420" w:rsidP="000F0420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0F0420">
        <w:rPr>
          <w:rFonts w:ascii="Times New Roman" w:hAnsi="Times New Roman"/>
          <w:color w:val="000000" w:themeColor="text1"/>
          <w:sz w:val="24"/>
          <w:szCs w:val="24"/>
        </w:rPr>
        <w:t>Cryptoassets</w:t>
      </w:r>
      <w:proofErr w:type="spellEnd"/>
      <w:r w:rsidRPr="000F0420">
        <w:rPr>
          <w:rFonts w:ascii="Times New Roman" w:hAnsi="Times New Roman"/>
          <w:color w:val="000000" w:themeColor="text1"/>
          <w:sz w:val="24"/>
          <w:szCs w:val="24"/>
        </w:rPr>
        <w:t xml:space="preserve"> have grown in popularity in recent years, with 8% of EU citizens reported as having crypto investments.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>This is also an area of unusually high cross border investment in the EU, with 40% of crypto investments crossing borders.</w:t>
      </w:r>
      <w:r w:rsidRPr="000F0420">
        <w:rPr>
          <w:rStyle w:val="FootnoteReference"/>
          <w:rFonts w:ascii="Times New Roman" w:hAnsi="Times New Roman"/>
          <w:color w:val="000000" w:themeColor="text1"/>
          <w:sz w:val="24"/>
          <w:szCs w:val="24"/>
        </w:rPr>
        <w:footnoteReference w:id="1"/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>There has been similar or greater interest in many other countries, including in developing countries, often without awareness of the real risk entailed.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>When failures happen, they have the potential to be cross-border and legally messy</w:t>
      </w:r>
      <w:r w:rsidRPr="000F0420">
        <w:rPr>
          <w:rStyle w:val="FootnoteReference"/>
          <w:rFonts w:ascii="Times New Roman" w:hAnsi="Times New Roman"/>
          <w:color w:val="000000" w:themeColor="text1"/>
          <w:sz w:val="24"/>
          <w:szCs w:val="24"/>
        </w:rPr>
        <w:footnoteReference w:id="2"/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 xml:space="preserve"> and studies have highlighted that crypto businesses may not address insolvency issues adequately in terms of service or otherwise.</w:t>
      </w:r>
      <w:r w:rsidRPr="000F0420">
        <w:rPr>
          <w:rStyle w:val="FootnoteReference"/>
          <w:rFonts w:ascii="Times New Roman" w:hAnsi="Times New Roman"/>
          <w:color w:val="000000" w:themeColor="text1"/>
          <w:sz w:val="24"/>
          <w:szCs w:val="24"/>
        </w:rPr>
        <w:footnoteReference w:id="3"/>
      </w:r>
    </w:p>
    <w:p w14:paraId="0C0CCBC7" w14:textId="77777777" w:rsidR="000F0420" w:rsidRPr="000F0420" w:rsidRDefault="000F0420" w:rsidP="000F0420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61F241D8" w14:textId="77777777" w:rsidR="000F0420" w:rsidRPr="000F0420" w:rsidRDefault="000F0420" w:rsidP="000F0420">
      <w:pPr>
        <w:spacing w:after="0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proofErr w:type="spellStart"/>
      <w:r w:rsidRPr="000F0420">
        <w:rPr>
          <w:rFonts w:ascii="Times New Roman" w:hAnsi="Times New Roman"/>
          <w:i/>
          <w:iCs/>
          <w:color w:val="000000" w:themeColor="text1"/>
          <w:sz w:val="24"/>
          <w:szCs w:val="24"/>
        </w:rPr>
        <w:t>Cryptoassets</w:t>
      </w:r>
      <w:proofErr w:type="spellEnd"/>
      <w:r w:rsidRPr="000F0420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and </w:t>
      </w:r>
      <w:proofErr w:type="spellStart"/>
      <w:r w:rsidRPr="000F0420">
        <w:rPr>
          <w:rFonts w:ascii="Times New Roman" w:hAnsi="Times New Roman"/>
          <w:i/>
          <w:iCs/>
          <w:color w:val="000000" w:themeColor="text1"/>
          <w:sz w:val="24"/>
          <w:szCs w:val="24"/>
        </w:rPr>
        <w:t>cryptoasset</w:t>
      </w:r>
      <w:proofErr w:type="spellEnd"/>
      <w:r w:rsidRPr="000F0420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service providers</w:t>
      </w:r>
    </w:p>
    <w:p w14:paraId="1BF11B1D" w14:textId="77777777" w:rsidR="000F0420" w:rsidRDefault="000F0420" w:rsidP="000F0420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25D4F049" w14:textId="08EEE73E" w:rsidR="000F0420" w:rsidRPr="000F0420" w:rsidRDefault="000F0420" w:rsidP="000F0420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0F0420">
        <w:rPr>
          <w:rFonts w:ascii="Times New Roman" w:hAnsi="Times New Roman"/>
          <w:color w:val="000000" w:themeColor="text1"/>
          <w:sz w:val="24"/>
          <w:szCs w:val="24"/>
        </w:rPr>
        <w:t xml:space="preserve">To provide some brief context, a crypto insolvency can relate to the </w:t>
      </w:r>
      <w:proofErr w:type="spellStart"/>
      <w:r w:rsidRPr="000F0420">
        <w:rPr>
          <w:rFonts w:ascii="Times New Roman" w:hAnsi="Times New Roman"/>
          <w:color w:val="000000" w:themeColor="text1"/>
          <w:sz w:val="24"/>
          <w:szCs w:val="24"/>
        </w:rPr>
        <w:t>cryptoasset</w:t>
      </w:r>
      <w:proofErr w:type="spellEnd"/>
      <w:r w:rsidRPr="000F0420">
        <w:rPr>
          <w:rFonts w:ascii="Times New Roman" w:hAnsi="Times New Roman"/>
          <w:color w:val="000000" w:themeColor="text1"/>
          <w:sz w:val="24"/>
          <w:szCs w:val="24"/>
        </w:rPr>
        <w:t xml:space="preserve"> itself or to a </w:t>
      </w:r>
      <w:proofErr w:type="spellStart"/>
      <w:r w:rsidRPr="000F0420">
        <w:rPr>
          <w:rFonts w:ascii="Times New Roman" w:hAnsi="Times New Roman"/>
          <w:color w:val="000000" w:themeColor="text1"/>
          <w:sz w:val="24"/>
          <w:szCs w:val="24"/>
        </w:rPr>
        <w:t>cryptoasset</w:t>
      </w:r>
      <w:proofErr w:type="spellEnd"/>
      <w:r w:rsidRPr="000F0420">
        <w:rPr>
          <w:rFonts w:ascii="Times New Roman" w:hAnsi="Times New Roman"/>
          <w:color w:val="000000" w:themeColor="text1"/>
          <w:sz w:val="24"/>
          <w:szCs w:val="24"/>
        </w:rPr>
        <w:t xml:space="preserve"> service provider, ‘CASP’.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 xml:space="preserve">The </w:t>
      </w:r>
      <w:proofErr w:type="spellStart"/>
      <w:r w:rsidRPr="000F0420">
        <w:rPr>
          <w:rFonts w:ascii="Times New Roman" w:hAnsi="Times New Roman"/>
          <w:color w:val="000000" w:themeColor="text1"/>
          <w:sz w:val="24"/>
          <w:szCs w:val="24"/>
        </w:rPr>
        <w:t>cryptoasset</w:t>
      </w:r>
      <w:proofErr w:type="spellEnd"/>
      <w:r w:rsidRPr="000F0420">
        <w:rPr>
          <w:rFonts w:ascii="Times New Roman" w:hAnsi="Times New Roman"/>
          <w:color w:val="000000" w:themeColor="text1"/>
          <w:sz w:val="24"/>
          <w:szCs w:val="24"/>
        </w:rPr>
        <w:t xml:space="preserve"> can be either a </w:t>
      </w:r>
      <w:proofErr w:type="spellStart"/>
      <w:r w:rsidRPr="000F0420">
        <w:rPr>
          <w:rFonts w:ascii="Times New Roman" w:hAnsi="Times New Roman"/>
          <w:color w:val="000000" w:themeColor="text1"/>
          <w:sz w:val="24"/>
          <w:szCs w:val="24"/>
        </w:rPr>
        <w:t>stablecoin</w:t>
      </w:r>
      <w:proofErr w:type="spellEnd"/>
      <w:r w:rsidRPr="000F0420">
        <w:rPr>
          <w:rFonts w:ascii="Times New Roman" w:hAnsi="Times New Roman"/>
          <w:color w:val="000000" w:themeColor="text1"/>
          <w:sz w:val="24"/>
          <w:szCs w:val="24"/>
        </w:rPr>
        <w:t xml:space="preserve">, such as Tether, which has an asset backing, or unbacked </w:t>
      </w:r>
      <w:proofErr w:type="spellStart"/>
      <w:r w:rsidRPr="000F0420">
        <w:rPr>
          <w:rFonts w:ascii="Times New Roman" w:hAnsi="Times New Roman"/>
          <w:color w:val="000000" w:themeColor="text1"/>
          <w:sz w:val="24"/>
          <w:szCs w:val="24"/>
        </w:rPr>
        <w:t>cryptoasset</w:t>
      </w:r>
      <w:proofErr w:type="spellEnd"/>
      <w:r w:rsidRPr="000F0420">
        <w:rPr>
          <w:rFonts w:ascii="Times New Roman" w:hAnsi="Times New Roman"/>
          <w:color w:val="000000" w:themeColor="text1"/>
          <w:sz w:val="24"/>
          <w:szCs w:val="24"/>
        </w:rPr>
        <w:t>, such as Bitcoin or Dogecoin whose value depends on market sentiment, rather than any underlying value.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>There are also utility tokens which operate via smart contracts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>and are designed to grant to owners’ rights to perform a specific action or claim a particular benefit on a website or to take part in decisions about crypto coins or blockchains.</w:t>
      </w:r>
      <w:r w:rsidRPr="000F0420">
        <w:rPr>
          <w:rStyle w:val="FootnoteReference"/>
          <w:rFonts w:ascii="Times New Roman" w:hAnsi="Times New Roman"/>
          <w:color w:val="000000" w:themeColor="text1"/>
          <w:sz w:val="24"/>
          <w:szCs w:val="24"/>
        </w:rPr>
        <w:footnoteReference w:id="4"/>
      </w:r>
    </w:p>
    <w:p w14:paraId="7512DAD0" w14:textId="77777777" w:rsidR="000F0420" w:rsidRPr="000F0420" w:rsidRDefault="000F0420" w:rsidP="000F0420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6F61438A" w14:textId="093E76E4" w:rsidR="000F0420" w:rsidRPr="000F0420" w:rsidRDefault="000F0420" w:rsidP="000F0420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0F0420">
        <w:rPr>
          <w:rFonts w:ascii="Times New Roman" w:hAnsi="Times New Roman"/>
          <w:color w:val="000000" w:themeColor="text1"/>
          <w:sz w:val="24"/>
          <w:szCs w:val="24"/>
        </w:rPr>
        <w:t>Originally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 xml:space="preserve"> this sector developed as an alternative to traditional financial intermediaries.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>The genius of Bitcoin was to use complex calculations to verify transactions via an immutable blockchain in a way that prevents double spending.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>In a decentralised blockchain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 xml:space="preserve"> anyone can access and solve the calculations.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>The high energy costs of this approach have seen an alternative ‘proof of stake’ approach being adopted, which use</w:t>
      </w:r>
      <w:r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 xml:space="preserve"> staked assets as a way of keeping transactions honest.</w:t>
      </w:r>
      <w:r w:rsidRPr="000F0420">
        <w:rPr>
          <w:rStyle w:val="FootnoteReference"/>
          <w:rFonts w:ascii="Times New Roman" w:hAnsi="Times New Roman"/>
          <w:color w:val="000000" w:themeColor="text1"/>
          <w:sz w:val="24"/>
          <w:szCs w:val="24"/>
        </w:rPr>
        <w:footnoteReference w:id="5"/>
      </w:r>
    </w:p>
    <w:p w14:paraId="0168E738" w14:textId="77777777" w:rsidR="000F0420" w:rsidRPr="000F0420" w:rsidRDefault="000F0420" w:rsidP="000F0420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307AF9FB" w14:textId="00E526AC" w:rsidR="000F0420" w:rsidRPr="000F0420" w:rsidRDefault="000F0420" w:rsidP="000F0420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0F0420">
        <w:rPr>
          <w:rFonts w:ascii="Times New Roman" w:hAnsi="Times New Roman"/>
          <w:color w:val="000000" w:themeColor="text1"/>
          <w:sz w:val="24"/>
          <w:szCs w:val="24"/>
        </w:rPr>
        <w:t>Cryptoassets</w:t>
      </w:r>
      <w:proofErr w:type="spellEnd"/>
      <w:r w:rsidRPr="000F0420">
        <w:rPr>
          <w:rFonts w:ascii="Times New Roman" w:hAnsi="Times New Roman"/>
          <w:color w:val="000000" w:themeColor="text1"/>
          <w:sz w:val="24"/>
          <w:szCs w:val="24"/>
        </w:rPr>
        <w:t xml:space="preserve"> enable peer</w:t>
      </w:r>
      <w:r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>to</w:t>
      </w:r>
      <w:r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>peer transactions, so that traditional intermediaries such as banks do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>n</w:t>
      </w:r>
      <w:r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 xml:space="preserve">t need to be used, but since this was beyond the technical skills of most CASPs have emerged. Exchange such as </w:t>
      </w:r>
      <w:proofErr w:type="spellStart"/>
      <w:r w:rsidRPr="000F0420">
        <w:rPr>
          <w:rFonts w:ascii="Times New Roman" w:hAnsi="Times New Roman"/>
          <w:color w:val="000000" w:themeColor="text1"/>
          <w:sz w:val="24"/>
          <w:szCs w:val="24"/>
        </w:rPr>
        <w:t>Binance</w:t>
      </w:r>
      <w:proofErr w:type="spellEnd"/>
      <w:r w:rsidRPr="000F0420">
        <w:rPr>
          <w:rFonts w:ascii="Times New Roman" w:hAnsi="Times New Roman"/>
          <w:color w:val="000000" w:themeColor="text1"/>
          <w:sz w:val="24"/>
          <w:szCs w:val="24"/>
        </w:rPr>
        <w:t xml:space="preserve"> have developed, as well as decentred exchanges, </w:t>
      </w:r>
      <w:proofErr w:type="spellStart"/>
      <w:r w:rsidRPr="000F0420">
        <w:rPr>
          <w:rFonts w:ascii="Times New Roman" w:hAnsi="Times New Roman"/>
          <w:color w:val="000000" w:themeColor="text1"/>
          <w:sz w:val="24"/>
          <w:szCs w:val="24"/>
        </w:rPr>
        <w:t>DeFi</w:t>
      </w:r>
      <w:proofErr w:type="spellEnd"/>
      <w:r w:rsidRPr="000F0420">
        <w:rPr>
          <w:rFonts w:ascii="Times New Roman" w:hAnsi="Times New Roman"/>
          <w:color w:val="000000" w:themeColor="text1"/>
          <w:sz w:val="24"/>
          <w:szCs w:val="24"/>
        </w:rPr>
        <w:t xml:space="preserve"> or </w:t>
      </w:r>
      <w:proofErr w:type="spellStart"/>
      <w:r w:rsidRPr="000F0420">
        <w:rPr>
          <w:rFonts w:ascii="Times New Roman" w:hAnsi="Times New Roman"/>
          <w:color w:val="000000" w:themeColor="text1"/>
          <w:sz w:val="24"/>
          <w:szCs w:val="24"/>
        </w:rPr>
        <w:t>DEx</w:t>
      </w:r>
      <w:proofErr w:type="spellEnd"/>
      <w:r w:rsidRPr="000F0420">
        <w:rPr>
          <w:rFonts w:ascii="Times New Roman" w:hAnsi="Times New Roman"/>
          <w:color w:val="000000" w:themeColor="text1"/>
          <w:sz w:val="24"/>
          <w:szCs w:val="24"/>
        </w:rPr>
        <w:t xml:space="preserve">, such as </w:t>
      </w:r>
      <w:proofErr w:type="spellStart"/>
      <w:r w:rsidRPr="000F0420">
        <w:rPr>
          <w:rFonts w:ascii="Times New Roman" w:hAnsi="Times New Roman"/>
          <w:color w:val="000000" w:themeColor="text1"/>
          <w:sz w:val="24"/>
          <w:szCs w:val="24"/>
        </w:rPr>
        <w:t>UniSwap</w:t>
      </w:r>
      <w:proofErr w:type="spellEnd"/>
      <w:r w:rsidRPr="000F0420">
        <w:rPr>
          <w:rFonts w:ascii="Times New Roman" w:hAnsi="Times New Roman"/>
          <w:color w:val="000000" w:themeColor="text1"/>
          <w:sz w:val="24"/>
          <w:szCs w:val="24"/>
        </w:rPr>
        <w:t xml:space="preserve">, which developed to facilitate </w:t>
      </w:r>
      <w:r>
        <w:rPr>
          <w:rFonts w:ascii="Times New Roman" w:hAnsi="Times New Roman"/>
          <w:color w:val="000000" w:themeColor="text1"/>
          <w:sz w:val="24"/>
          <w:szCs w:val="24"/>
        </w:rPr>
        <w:t>peer-to-peer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 xml:space="preserve"> transaction.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>Although an individual can hold their own crypto there are also custodian services which have developed to manage crypto wallets.</w:t>
      </w:r>
    </w:p>
    <w:p w14:paraId="78D4D338" w14:textId="77777777" w:rsidR="000F0420" w:rsidRPr="000F0420" w:rsidRDefault="000F0420" w:rsidP="000F0420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17B80A2A" w14:textId="0E0153BF" w:rsidR="000F0420" w:rsidRPr="000F0420" w:rsidRDefault="000F0420" w:rsidP="000F0420">
      <w:pPr>
        <w:spacing w:after="0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0F0420">
        <w:rPr>
          <w:rFonts w:ascii="Times New Roman" w:hAnsi="Times New Roman"/>
          <w:i/>
          <w:iCs/>
          <w:color w:val="000000" w:themeColor="text1"/>
          <w:sz w:val="24"/>
          <w:szCs w:val="24"/>
        </w:rPr>
        <w:t>Crypto</w:t>
      </w:r>
      <w:r>
        <w:rPr>
          <w:rFonts w:ascii="Times New Roman" w:hAnsi="Times New Roman"/>
          <w:i/>
          <w:iCs/>
          <w:color w:val="000000" w:themeColor="text1"/>
          <w:sz w:val="24"/>
          <w:szCs w:val="24"/>
        </w:rPr>
        <w:t>-</w:t>
      </w:r>
      <w:r w:rsidRPr="000F0420">
        <w:rPr>
          <w:rFonts w:ascii="Times New Roman" w:hAnsi="Times New Roman"/>
          <w:i/>
          <w:iCs/>
          <w:color w:val="000000" w:themeColor="text1"/>
          <w:sz w:val="24"/>
          <w:szCs w:val="24"/>
        </w:rPr>
        <w:t>regulation</w:t>
      </w:r>
    </w:p>
    <w:p w14:paraId="4327A6E6" w14:textId="77777777" w:rsidR="000F0420" w:rsidRDefault="000F0420" w:rsidP="000F0420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0A6A9E0A" w14:textId="66E8A702" w:rsidR="000F0420" w:rsidRPr="000F0420" w:rsidRDefault="000F0420" w:rsidP="000F0420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0F0420">
        <w:rPr>
          <w:rFonts w:ascii="Times New Roman" w:hAnsi="Times New Roman"/>
          <w:color w:val="000000" w:themeColor="text1"/>
          <w:sz w:val="24"/>
          <w:szCs w:val="24"/>
        </w:rPr>
        <w:t>In recent years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 xml:space="preserve"> CASPS have enabled greater access to </w:t>
      </w:r>
      <w:proofErr w:type="spellStart"/>
      <w:r w:rsidRPr="000F0420">
        <w:rPr>
          <w:rFonts w:ascii="Times New Roman" w:hAnsi="Times New Roman"/>
          <w:color w:val="000000" w:themeColor="text1"/>
          <w:sz w:val="24"/>
          <w:szCs w:val="24"/>
        </w:rPr>
        <w:t>cryptoassets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 xml:space="preserve"> but this can lead to expectation gaps as some will think that there are consumer protections that apply to other assets, such as bank accounts.</w:t>
      </w:r>
      <w:r w:rsidRPr="000F0420">
        <w:rPr>
          <w:rStyle w:val="FootnoteReference"/>
          <w:rFonts w:ascii="Times New Roman" w:hAnsi="Times New Roman"/>
          <w:color w:val="000000" w:themeColor="text1"/>
          <w:sz w:val="24"/>
          <w:szCs w:val="24"/>
        </w:rPr>
        <w:footnoteReference w:id="6"/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 xml:space="preserve"> Others will lose out as a result of scams and ‘pump and dump’ schemes.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>In response to these and other risks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 xml:space="preserve"> a safe environment for crypto investment is being built in many jurisdictions.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>The EU has the Markets in Crypto Assets Regulation,</w:t>
      </w:r>
      <w:r w:rsidRPr="000F0420">
        <w:rPr>
          <w:rStyle w:val="FootnoteReference"/>
          <w:rFonts w:ascii="Times New Roman" w:hAnsi="Times New Roman"/>
          <w:color w:val="000000" w:themeColor="text1"/>
          <w:sz w:val="24"/>
          <w:szCs w:val="24"/>
        </w:rPr>
        <w:footnoteReference w:id="7"/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 xml:space="preserve"> ‘</w:t>
      </w:r>
      <w:proofErr w:type="spellStart"/>
      <w:r w:rsidRPr="000F0420">
        <w:rPr>
          <w:rFonts w:ascii="Times New Roman" w:hAnsi="Times New Roman"/>
          <w:color w:val="000000" w:themeColor="text1"/>
          <w:sz w:val="24"/>
          <w:szCs w:val="24"/>
        </w:rPr>
        <w:t>MiCAR</w:t>
      </w:r>
      <w:proofErr w:type="spellEnd"/>
      <w:r w:rsidRPr="000F0420">
        <w:rPr>
          <w:rFonts w:ascii="Times New Roman" w:hAnsi="Times New Roman"/>
          <w:color w:val="000000" w:themeColor="text1"/>
          <w:sz w:val="24"/>
          <w:szCs w:val="24"/>
        </w:rPr>
        <w:t>’ and other jurisdictions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 xml:space="preserve"> such as the UK</w:t>
      </w:r>
      <w:r w:rsidRPr="000F0420">
        <w:rPr>
          <w:rStyle w:val="FootnoteReference"/>
          <w:rFonts w:ascii="Times New Roman" w:hAnsi="Times New Roman"/>
          <w:color w:val="000000" w:themeColor="text1"/>
          <w:sz w:val="24"/>
          <w:szCs w:val="24"/>
        </w:rPr>
        <w:footnoteReference w:id="8"/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 xml:space="preserve"> and Singapore</w:t>
      </w:r>
      <w:r w:rsidRPr="000F0420">
        <w:rPr>
          <w:rStyle w:val="FootnoteReference"/>
          <w:rFonts w:ascii="Times New Roman" w:hAnsi="Times New Roman"/>
          <w:color w:val="000000" w:themeColor="text1"/>
          <w:sz w:val="24"/>
          <w:szCs w:val="24"/>
        </w:rPr>
        <w:footnoteReference w:id="9"/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 xml:space="preserve"> have strong regulatory approaches.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>Organisations such as UNIDROIT</w:t>
      </w:r>
      <w:r w:rsidRPr="000F0420">
        <w:rPr>
          <w:rStyle w:val="FootnoteReference"/>
          <w:rFonts w:ascii="Times New Roman" w:hAnsi="Times New Roman"/>
          <w:color w:val="000000" w:themeColor="text1"/>
          <w:sz w:val="24"/>
          <w:szCs w:val="24"/>
        </w:rPr>
        <w:footnoteReference w:id="10"/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 xml:space="preserve"> and the UK Jurisdiction Task Force</w:t>
      </w:r>
      <w:r w:rsidRPr="000F0420">
        <w:rPr>
          <w:rStyle w:val="FootnoteReference"/>
          <w:rFonts w:ascii="Times New Roman" w:hAnsi="Times New Roman"/>
          <w:color w:val="000000" w:themeColor="text1"/>
          <w:sz w:val="24"/>
          <w:szCs w:val="24"/>
        </w:rPr>
        <w:footnoteReference w:id="11"/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 xml:space="preserve"> have contributed valuable discussions of insolvency aspects that can be of persuasive guidance in other jurisdictions.</w:t>
      </w:r>
    </w:p>
    <w:p w14:paraId="373DA2A0" w14:textId="77777777" w:rsidR="000F0420" w:rsidRPr="000F0420" w:rsidRDefault="000F0420" w:rsidP="000F0420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5294A86B" w14:textId="5040A8AC" w:rsidR="000F0420" w:rsidRPr="000F0420" w:rsidRDefault="000F0420" w:rsidP="000F0420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0F0420">
        <w:rPr>
          <w:rFonts w:ascii="Times New Roman" w:hAnsi="Times New Roman"/>
          <w:color w:val="000000" w:themeColor="text1"/>
          <w:sz w:val="24"/>
          <w:szCs w:val="24"/>
        </w:rPr>
        <w:t>There will be cases that fall outside these well-regulated jurisdictions.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>Some crypto businesses deliberately operate in light regulatory jurisdictions, potentially to the detriment of customers.</w:t>
      </w:r>
      <w:r w:rsidRPr="000F0420">
        <w:rPr>
          <w:rStyle w:val="FootnoteReference"/>
          <w:rFonts w:ascii="Times New Roman" w:hAnsi="Times New Roman"/>
          <w:color w:val="000000" w:themeColor="text1"/>
          <w:sz w:val="24"/>
          <w:szCs w:val="24"/>
        </w:rPr>
        <w:footnoteReference w:id="12"/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>In our study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 xml:space="preserve"> we found that crypto exchanges will include in their terms of service lists of countries from which they would not accept customers. In many cases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 xml:space="preserve"> this was unsurprising as the countries were subject to sanctions, or local circumstances would have made doing business there difficult.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 xml:space="preserve">Surprisingly, however, the country whose citizens were most often excluded as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lastRenderedPageBreak/>
        <w:t>customers was the United States.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>This suggested that many would deliberately exclude customers from jurisdictions with high levels of crypto regulation.</w:t>
      </w:r>
    </w:p>
    <w:p w14:paraId="2C0DF7F9" w14:textId="77777777" w:rsidR="000F0420" w:rsidRPr="000F0420" w:rsidRDefault="000F0420" w:rsidP="000F0420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2EEEE2E6" w14:textId="16FE199B" w:rsidR="000F0420" w:rsidRPr="000F0420" w:rsidRDefault="000F0420" w:rsidP="000F0420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0F0420">
        <w:rPr>
          <w:rFonts w:ascii="Times New Roman" w:hAnsi="Times New Roman"/>
          <w:color w:val="000000" w:themeColor="text1"/>
          <w:sz w:val="24"/>
          <w:szCs w:val="24"/>
        </w:rPr>
        <w:t xml:space="preserve">Many crypto firms, particularly those operating </w:t>
      </w:r>
      <w:proofErr w:type="spellStart"/>
      <w:r w:rsidRPr="000F0420">
        <w:rPr>
          <w:rFonts w:ascii="Times New Roman" w:hAnsi="Times New Roman"/>
          <w:color w:val="000000" w:themeColor="text1"/>
          <w:sz w:val="24"/>
          <w:szCs w:val="24"/>
        </w:rPr>
        <w:t>memecoins</w:t>
      </w:r>
      <w:proofErr w:type="spellEnd"/>
      <w:r w:rsidRPr="000F0420">
        <w:rPr>
          <w:rFonts w:ascii="Times New Roman" w:hAnsi="Times New Roman"/>
          <w:color w:val="000000" w:themeColor="text1"/>
          <w:sz w:val="24"/>
          <w:szCs w:val="24"/>
        </w:rPr>
        <w:t xml:space="preserve"> and </w:t>
      </w:r>
      <w:proofErr w:type="spellStart"/>
      <w:r w:rsidRPr="000F0420">
        <w:rPr>
          <w:rFonts w:ascii="Times New Roman" w:hAnsi="Times New Roman"/>
          <w:color w:val="000000" w:themeColor="text1"/>
          <w:sz w:val="24"/>
          <w:szCs w:val="24"/>
        </w:rPr>
        <w:t>DeFi</w:t>
      </w:r>
      <w:proofErr w:type="spellEnd"/>
      <w:r w:rsidRPr="000F0420">
        <w:rPr>
          <w:rFonts w:ascii="Times New Roman" w:hAnsi="Times New Roman"/>
          <w:color w:val="000000" w:themeColor="text1"/>
          <w:sz w:val="24"/>
          <w:szCs w:val="24"/>
        </w:rPr>
        <w:t xml:space="preserve"> exchanges, will also offer little or no indication of legal aspects of trading with them.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>Terms of service can be difficult to find and, in some instances, non-existent and they can also fail to address matters such as proprietary entitlements that would be important in an insolvency.</w:t>
      </w:r>
      <w:r w:rsidRPr="000F0420">
        <w:rPr>
          <w:rStyle w:val="FootnoteReference"/>
          <w:rFonts w:ascii="Times New Roman" w:hAnsi="Times New Roman"/>
          <w:color w:val="000000" w:themeColor="text1"/>
          <w:sz w:val="24"/>
          <w:szCs w:val="24"/>
        </w:rPr>
        <w:footnoteReference w:id="13"/>
      </w:r>
    </w:p>
    <w:p w14:paraId="1D836A6C" w14:textId="77777777" w:rsidR="000F0420" w:rsidRPr="000F0420" w:rsidRDefault="000F0420" w:rsidP="000F0420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5596750B" w14:textId="77777777" w:rsidR="000F0420" w:rsidRPr="000F0420" w:rsidRDefault="000F0420" w:rsidP="000F0420">
      <w:pPr>
        <w:spacing w:after="0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0F0420">
        <w:rPr>
          <w:rFonts w:ascii="Times New Roman" w:hAnsi="Times New Roman"/>
          <w:i/>
          <w:iCs/>
          <w:color w:val="000000" w:themeColor="text1"/>
          <w:sz w:val="24"/>
          <w:szCs w:val="24"/>
        </w:rPr>
        <w:t>Crypto insolvencies</w:t>
      </w:r>
    </w:p>
    <w:p w14:paraId="4D004F0E" w14:textId="77777777" w:rsidR="000F0420" w:rsidRDefault="000F0420" w:rsidP="000F0420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08150F9A" w14:textId="1FE59C69" w:rsidR="000F0420" w:rsidRPr="000F0420" w:rsidRDefault="000F0420" w:rsidP="000F0420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0F0420">
        <w:rPr>
          <w:rFonts w:ascii="Times New Roman" w:hAnsi="Times New Roman"/>
          <w:color w:val="000000" w:themeColor="text1"/>
          <w:sz w:val="24"/>
          <w:szCs w:val="24"/>
        </w:rPr>
        <w:t>Cryptoassets</w:t>
      </w:r>
      <w:proofErr w:type="spellEnd"/>
      <w:r w:rsidRPr="000F0420">
        <w:rPr>
          <w:rFonts w:ascii="Times New Roman" w:hAnsi="Times New Roman"/>
          <w:color w:val="000000" w:themeColor="text1"/>
          <w:sz w:val="24"/>
          <w:szCs w:val="24"/>
        </w:rPr>
        <w:t xml:space="preserve"> (other than most </w:t>
      </w:r>
      <w:proofErr w:type="spellStart"/>
      <w:r w:rsidRPr="000F0420">
        <w:rPr>
          <w:rFonts w:ascii="Times New Roman" w:hAnsi="Times New Roman"/>
          <w:color w:val="000000" w:themeColor="text1"/>
          <w:sz w:val="24"/>
          <w:szCs w:val="24"/>
        </w:rPr>
        <w:t>stablecoins</w:t>
      </w:r>
      <w:proofErr w:type="spellEnd"/>
      <w:r w:rsidRPr="000F0420">
        <w:rPr>
          <w:rFonts w:ascii="Times New Roman" w:hAnsi="Times New Roman"/>
          <w:color w:val="000000" w:themeColor="text1"/>
          <w:sz w:val="24"/>
          <w:szCs w:val="24"/>
        </w:rPr>
        <w:t xml:space="preserve">) and crypto service providers, “crypto firms”, operate in a volatile market beset with legal uncertainties, making insolvencies likely, especially where </w:t>
      </w:r>
      <w:proofErr w:type="spellStart"/>
      <w:r w:rsidRPr="000F0420">
        <w:rPr>
          <w:rFonts w:ascii="Times New Roman" w:hAnsi="Times New Roman"/>
          <w:color w:val="000000" w:themeColor="text1"/>
          <w:sz w:val="24"/>
          <w:szCs w:val="24"/>
        </w:rPr>
        <w:t>cryptoassets</w:t>
      </w:r>
      <w:proofErr w:type="spellEnd"/>
      <w:r w:rsidRPr="000F0420">
        <w:rPr>
          <w:rFonts w:ascii="Times New Roman" w:hAnsi="Times New Roman"/>
          <w:color w:val="000000" w:themeColor="text1"/>
          <w:sz w:val="24"/>
          <w:szCs w:val="24"/>
        </w:rPr>
        <w:t xml:space="preserve"> have no intrinsic value and where regulatory changes will bring turmoil.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>The risks in this sector were clearly illustrated during the “Crypto Winter” of 2022-23</w:t>
      </w:r>
      <w:r w:rsidRPr="000F0420">
        <w:rPr>
          <w:rFonts w:ascii="Times New Roman" w:hAnsi="Times New Roman"/>
          <w:sz w:val="24"/>
          <w:szCs w:val="24"/>
        </w:rPr>
        <w:t xml:space="preserve">, both through the sudden collapse of the algorithmic </w:t>
      </w:r>
      <w:proofErr w:type="spellStart"/>
      <w:r w:rsidRPr="000F0420">
        <w:rPr>
          <w:rFonts w:ascii="Times New Roman" w:hAnsi="Times New Roman"/>
          <w:sz w:val="24"/>
          <w:szCs w:val="24"/>
        </w:rPr>
        <w:t>stablecoin</w:t>
      </w:r>
      <w:proofErr w:type="spellEnd"/>
      <w:r w:rsidRPr="000F0420">
        <w:rPr>
          <w:rFonts w:ascii="Times New Roman" w:hAnsi="Times New Roman"/>
          <w:sz w:val="24"/>
          <w:szCs w:val="24"/>
        </w:rPr>
        <w:t xml:space="preserve"> Terra/Luna and through the dramatic failure of the FTX exchange.</w:t>
      </w:r>
    </w:p>
    <w:p w14:paraId="2B0429F0" w14:textId="77777777" w:rsidR="000F0420" w:rsidRPr="000F0420" w:rsidRDefault="000F0420" w:rsidP="000F0420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59C9AF5B" w14:textId="1E1852FF" w:rsidR="000F0420" w:rsidRPr="000F0420" w:rsidRDefault="000F0420" w:rsidP="000F0420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0F0420">
        <w:rPr>
          <w:rFonts w:ascii="Times New Roman" w:hAnsi="Times New Roman"/>
          <w:color w:val="000000" w:themeColor="text1"/>
          <w:sz w:val="24"/>
          <w:szCs w:val="24"/>
        </w:rPr>
        <w:t>A significant problem may be identifying in advance where an insolvency might take place.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>Our study found that any crypto businesses are deliberately vague as to the location of their main operations.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>Many customers will access crypto services online and relevant websites do not normally give any clear impression as to where the services are based.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>Even if the customer consults the terms of service this may not help.</w:t>
      </w:r>
    </w:p>
    <w:p w14:paraId="295927BA" w14:textId="77777777" w:rsidR="000F0420" w:rsidRPr="000F0420" w:rsidRDefault="000F0420" w:rsidP="000F0420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5C55D319" w14:textId="46AE3732" w:rsidR="000F0420" w:rsidRPr="000F0420" w:rsidRDefault="000F0420" w:rsidP="000F0420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0F0420">
        <w:rPr>
          <w:rFonts w:ascii="Times New Roman" w:hAnsi="Times New Roman"/>
          <w:color w:val="000000" w:themeColor="text1"/>
          <w:sz w:val="24"/>
          <w:szCs w:val="24"/>
        </w:rPr>
        <w:t>Even if a centre of operations can be identified for a firm in one country, its insolvency will not necessarily be handled there.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>The exchange FTX, was headquartered in one jurisdiction, the Bahamas, but entered insolvency proceedings in another jurisdiction, the United States.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>There is no indication that this choice of jurisdiction operated unfairly, and this was a highly complex case that presented novel problems.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>It was arguably best handled in a jurisdiction with sophisticated practices.</w:t>
      </w:r>
    </w:p>
    <w:p w14:paraId="63905FB0" w14:textId="77777777" w:rsidR="000F0420" w:rsidRPr="000F0420" w:rsidRDefault="000F0420" w:rsidP="000F0420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34B3DB93" w14:textId="06C7B16A" w:rsidR="000F0420" w:rsidRPr="000F0420" w:rsidRDefault="000F0420" w:rsidP="000F0420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0F0420">
        <w:rPr>
          <w:rFonts w:ascii="Times New Roman" w:hAnsi="Times New Roman"/>
          <w:color w:val="000000" w:themeColor="text1"/>
          <w:sz w:val="24"/>
          <w:szCs w:val="24"/>
        </w:rPr>
        <w:t>Crypto trading is also often international and a failure could lead to diverse crypto investors facing difficulties as proceedings may be opened in another, unfamiliar, jurisdiction.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>A further problem is that cases can take a long time to resolve.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>In both FTX and the earlier Japanese case of Mt Gox the companies ended up solvent as the price of Bitcoin had risen significantly and both companies held reserves.</w:t>
      </w:r>
    </w:p>
    <w:p w14:paraId="72FB5ACF" w14:textId="77777777" w:rsidR="000F0420" w:rsidRPr="000F0420" w:rsidRDefault="000F0420" w:rsidP="000F0420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2FD7B12F" w14:textId="02B968C2" w:rsidR="000F0420" w:rsidRPr="000F0420" w:rsidRDefault="000F0420" w:rsidP="000F0420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0F0420">
        <w:rPr>
          <w:rFonts w:ascii="Times New Roman" w:hAnsi="Times New Roman"/>
          <w:color w:val="000000" w:themeColor="text1"/>
          <w:sz w:val="24"/>
          <w:szCs w:val="24"/>
        </w:rPr>
        <w:t>It may be that some crypto firms can clarify their approach from the outset through a statement as to where insolvency proceedings will take place.</w:t>
      </w:r>
      <w:r w:rsidRPr="000F0420">
        <w:rPr>
          <w:rStyle w:val="FootnoteReference"/>
          <w:rFonts w:ascii="Times New Roman" w:hAnsi="Times New Roman"/>
          <w:color w:val="000000" w:themeColor="text1"/>
          <w:sz w:val="24"/>
          <w:szCs w:val="24"/>
        </w:rPr>
        <w:footnoteReference w:id="14"/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>Such an approach would leave the company with flexibility to move its headquarters around but would offer greater certainty as to what will happen in the event of an insolvency.</w:t>
      </w:r>
    </w:p>
    <w:p w14:paraId="00B526D4" w14:textId="77777777" w:rsidR="000F0420" w:rsidRPr="000F0420" w:rsidRDefault="000F0420" w:rsidP="000F0420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409F42D2" w14:textId="248844D8" w:rsidR="000F0420" w:rsidRDefault="000F0420" w:rsidP="000F0420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0F0420">
        <w:rPr>
          <w:rFonts w:ascii="Times New Roman" w:hAnsi="Times New Roman"/>
          <w:color w:val="000000" w:themeColor="text1"/>
          <w:sz w:val="24"/>
          <w:szCs w:val="24"/>
        </w:rPr>
        <w:lastRenderedPageBreak/>
        <w:t>A more predictable approach to the insolvency jurisdiction would be important as there can be impacts on creditor entitlements, depending on where the insolvency proceedings are opened, as in other cross-border cases.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>Most consumer customers will not be aware that they would be in a strong position if they can establish a proprietary interest.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>The terms offered by crypto firms will not always be consistent with the existence of a proprietary interest.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>Some will not address this issue at all, and some may not segregate assets even if the contract terms say they will.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>Some will use a third party as custodian but the terms of custodians won’t necessarily be clear either.</w:t>
      </w:r>
      <w:r w:rsidRPr="000F0420">
        <w:rPr>
          <w:rStyle w:val="FootnoteReference"/>
          <w:rFonts w:ascii="Times New Roman" w:hAnsi="Times New Roman"/>
          <w:color w:val="000000" w:themeColor="text1"/>
          <w:sz w:val="24"/>
          <w:szCs w:val="24"/>
        </w:rPr>
        <w:footnoteReference w:id="15"/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>Consumers will not know to choose CASPs that clearly establish this.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0F0420">
        <w:rPr>
          <w:rFonts w:ascii="Times New Roman" w:hAnsi="Times New Roman"/>
          <w:color w:val="000000" w:themeColor="text1"/>
          <w:sz w:val="24"/>
          <w:szCs w:val="24"/>
        </w:rPr>
        <w:t>MiCAR</w:t>
      </w:r>
      <w:proofErr w:type="spellEnd"/>
      <w:r w:rsidRPr="000F0420">
        <w:rPr>
          <w:rFonts w:ascii="Times New Roman" w:hAnsi="Times New Roman"/>
          <w:color w:val="000000" w:themeColor="text1"/>
          <w:sz w:val="24"/>
          <w:szCs w:val="24"/>
        </w:rPr>
        <w:t xml:space="preserve"> and other instruments are addressing this in attending to custodial issues but </w:t>
      </w:r>
      <w:proofErr w:type="spellStart"/>
      <w:r w:rsidRPr="000F0420">
        <w:rPr>
          <w:rFonts w:ascii="Times New Roman" w:hAnsi="Times New Roman"/>
          <w:color w:val="000000" w:themeColor="text1"/>
          <w:sz w:val="24"/>
          <w:szCs w:val="24"/>
        </w:rPr>
        <w:t>cryptoassets</w:t>
      </w:r>
      <w:proofErr w:type="spellEnd"/>
      <w:r w:rsidRPr="000F0420">
        <w:rPr>
          <w:rFonts w:ascii="Times New Roman" w:hAnsi="Times New Roman"/>
          <w:color w:val="000000" w:themeColor="text1"/>
          <w:sz w:val="24"/>
          <w:szCs w:val="24"/>
        </w:rPr>
        <w:t xml:space="preserve"> are not regarded in the same way in all jurisdictions.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>It would be preferable to see greater crypto industry initiatives to address regulatory gaps.</w:t>
      </w:r>
    </w:p>
    <w:p w14:paraId="1AC5D77B" w14:textId="77777777" w:rsidR="000F0420" w:rsidRPr="000F0420" w:rsidRDefault="000F0420" w:rsidP="000F0420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38D347C9" w14:textId="77777777" w:rsidR="000F0420" w:rsidRPr="000F0420" w:rsidRDefault="000F0420" w:rsidP="000F0420">
      <w:pPr>
        <w:spacing w:after="0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0F0420">
        <w:rPr>
          <w:rFonts w:ascii="Times New Roman" w:hAnsi="Times New Roman"/>
          <w:i/>
          <w:iCs/>
          <w:color w:val="000000" w:themeColor="text1"/>
          <w:sz w:val="24"/>
          <w:szCs w:val="24"/>
        </w:rPr>
        <w:t>Future research</w:t>
      </w:r>
    </w:p>
    <w:p w14:paraId="142B6C4D" w14:textId="77777777" w:rsidR="000F0420" w:rsidRDefault="000F0420" w:rsidP="000F0420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1C75B2A1" w14:textId="32E84853" w:rsidR="000F0420" w:rsidRPr="000F0420" w:rsidRDefault="000F0420" w:rsidP="000F0420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0F0420">
        <w:rPr>
          <w:rFonts w:ascii="Times New Roman" w:hAnsi="Times New Roman"/>
          <w:color w:val="000000" w:themeColor="text1"/>
          <w:sz w:val="24"/>
          <w:szCs w:val="24"/>
        </w:rPr>
        <w:t>Our recent research project is a first step towards this analysis by identifying the issues that are likely to arise in the event of the failure of a crypto firm, mapping the jurisdictions that are likely to be involved, and identifying possible legal responses.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>The project developed an international network funded by the Arts and Humanities Research Council and in partnership with INSOL International and the Istanbul Bar Association.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>It brought together academic and practitioner representation from major crypto-investing countries, with equal representation from developing countries where there are high levels of crypto investment.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>Ultimately, we would like to see the grey areas that we have identified being addressed, bringing greater certainty as to what will happen in the insolvency of a crypto firm, as well as greater industry initiatives leading to better information for consumers.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0420">
        <w:rPr>
          <w:rFonts w:ascii="Times New Roman" w:hAnsi="Times New Roman"/>
          <w:color w:val="000000" w:themeColor="text1"/>
          <w:sz w:val="24"/>
          <w:szCs w:val="24"/>
        </w:rPr>
        <w:t>Since not all states are likely to adopt adequate crypto regulation laws we would like to see market-based solutions as CASPs adopt standards voluntarily.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6A527E56" w14:textId="77777777" w:rsidR="000F0420" w:rsidRPr="000F0420" w:rsidRDefault="000F0420" w:rsidP="000F0420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79C59DC1" w14:textId="77777777" w:rsidR="000F0420" w:rsidRPr="000F0420" w:rsidRDefault="000F0420" w:rsidP="000F0420">
      <w:pPr>
        <w:spacing w:after="0"/>
        <w:rPr>
          <w:rFonts w:ascii="Times New Roman" w:hAnsi="Times New Roman"/>
          <w:i/>
          <w:iCs/>
          <w:sz w:val="24"/>
          <w:szCs w:val="24"/>
        </w:rPr>
      </w:pPr>
      <w:r w:rsidRPr="000F0420">
        <w:rPr>
          <w:rFonts w:ascii="Times New Roman" w:hAnsi="Times New Roman"/>
          <w:i/>
          <w:iCs/>
          <w:sz w:val="24"/>
          <w:szCs w:val="24"/>
        </w:rPr>
        <w:t>Conclusion</w:t>
      </w:r>
    </w:p>
    <w:p w14:paraId="04B4239E" w14:textId="77777777" w:rsidR="000F0420" w:rsidRDefault="000F0420" w:rsidP="000F0420">
      <w:pPr>
        <w:spacing w:after="0"/>
        <w:rPr>
          <w:rFonts w:ascii="Times New Roman" w:hAnsi="Times New Roman"/>
          <w:sz w:val="24"/>
          <w:szCs w:val="24"/>
        </w:rPr>
      </w:pPr>
    </w:p>
    <w:p w14:paraId="5761A948" w14:textId="60E678C6" w:rsidR="0047439B" w:rsidRPr="000F0420" w:rsidRDefault="000F0420" w:rsidP="000F0420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0F0420">
        <w:rPr>
          <w:rFonts w:ascii="Times New Roman" w:hAnsi="Times New Roman"/>
          <w:sz w:val="24"/>
          <w:szCs w:val="24"/>
        </w:rPr>
        <w:t>Cryptoassets</w:t>
      </w:r>
      <w:proofErr w:type="spellEnd"/>
      <w:r w:rsidRPr="000F0420">
        <w:rPr>
          <w:rFonts w:ascii="Times New Roman" w:hAnsi="Times New Roman"/>
          <w:sz w:val="24"/>
          <w:szCs w:val="24"/>
        </w:rPr>
        <w:t xml:space="preserve"> can offer exciting opportunities for many but also risks and there can be consumer misunderstandings that can be exploited by opportunists.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0420">
        <w:rPr>
          <w:rFonts w:ascii="Times New Roman" w:hAnsi="Times New Roman"/>
          <w:sz w:val="24"/>
          <w:szCs w:val="24"/>
        </w:rPr>
        <w:t xml:space="preserve">Efforts are being made to regulate this sector in many jurisdictions and the EU’s </w:t>
      </w:r>
      <w:proofErr w:type="spellStart"/>
      <w:r w:rsidRPr="000F0420">
        <w:rPr>
          <w:rFonts w:ascii="Times New Roman" w:hAnsi="Times New Roman"/>
          <w:sz w:val="24"/>
          <w:szCs w:val="24"/>
        </w:rPr>
        <w:t>MiCAR</w:t>
      </w:r>
      <w:proofErr w:type="spellEnd"/>
      <w:r w:rsidRPr="000F0420">
        <w:rPr>
          <w:rFonts w:ascii="Times New Roman" w:hAnsi="Times New Roman"/>
          <w:sz w:val="24"/>
          <w:szCs w:val="24"/>
        </w:rPr>
        <w:t xml:space="preserve"> sets a high standard. There are also regulatory grey areas and there is much that the crypto industry can do to bring clarity in cross-border cases and address the other problems that we have identified.</w:t>
      </w:r>
    </w:p>
    <w:sectPr w:rsidR="0047439B" w:rsidRPr="000F0420" w:rsidSect="00086E49">
      <w:headerReference w:type="default" r:id="rId9"/>
      <w:footerReference w:type="default" r:id="rId10"/>
      <w:pgSz w:w="11907" w:h="16840" w:code="9"/>
      <w:pgMar w:top="1440" w:right="1418" w:bottom="1440" w:left="1418" w:header="720" w:footer="32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C3223" w14:textId="77777777" w:rsidR="008F3322" w:rsidRDefault="008F3322">
      <w:r>
        <w:separator/>
      </w:r>
    </w:p>
  </w:endnote>
  <w:endnote w:type="continuationSeparator" w:id="0">
    <w:p w14:paraId="49E6B2FC" w14:textId="77777777" w:rsidR="008F3322" w:rsidRDefault="008F3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3B342" w14:textId="77777777" w:rsidR="00BF3D3E" w:rsidRPr="001C5080" w:rsidRDefault="00BF3D3E" w:rsidP="00086E49">
    <w:pPr>
      <w:tabs>
        <w:tab w:val="center" w:pos="4536"/>
        <w:tab w:val="right" w:pos="8789"/>
      </w:tabs>
      <w:spacing w:after="0"/>
      <w:rPr>
        <w:rFonts w:cs="Calibri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358F1" w14:textId="77777777" w:rsidR="008F3322" w:rsidRDefault="008F3322">
      <w:r>
        <w:separator/>
      </w:r>
    </w:p>
  </w:footnote>
  <w:footnote w:type="continuationSeparator" w:id="0">
    <w:p w14:paraId="032E8503" w14:textId="77777777" w:rsidR="008F3322" w:rsidRDefault="008F3322">
      <w:r>
        <w:continuationSeparator/>
      </w:r>
    </w:p>
  </w:footnote>
  <w:footnote w:id="1">
    <w:p w14:paraId="53453A96" w14:textId="46B7A23A" w:rsidR="000F0420" w:rsidRPr="00D637FF" w:rsidRDefault="000F0420" w:rsidP="000F0420">
      <w:pPr>
        <w:pStyle w:val="FootnoteText"/>
        <w:rPr>
          <w:rFonts w:ascii="Times New Roman" w:hAnsi="Times New Roman"/>
        </w:rPr>
      </w:pPr>
      <w:r w:rsidRPr="00D637FF">
        <w:rPr>
          <w:rStyle w:val="FootnoteReference"/>
          <w:rFonts w:ascii="Times New Roman" w:hAnsi="Times New Roman"/>
        </w:rPr>
        <w:footnoteRef/>
      </w:r>
      <w:r w:rsidRPr="00D637FF">
        <w:rPr>
          <w:rFonts w:ascii="Times New Roman" w:hAnsi="Times New Roman"/>
        </w:rPr>
        <w:t xml:space="preserve"> European Commission, Flash Eurobarometer 509, Retail Financial Services and Products, October 2022, 2.4, available at</w:t>
      </w:r>
      <w:r w:rsidRPr="00D637FF">
        <w:rPr>
          <w:rFonts w:ascii="Times New Roman" w:hAnsi="Times New Roman"/>
        </w:rPr>
        <w:t>:</w:t>
      </w:r>
      <w:r w:rsidRPr="00D637FF">
        <w:rPr>
          <w:rFonts w:ascii="Times New Roman" w:hAnsi="Times New Roman"/>
        </w:rPr>
        <w:t xml:space="preserve"> </w:t>
      </w:r>
      <w:r w:rsidRPr="00D637FF">
        <w:rPr>
          <w:rFonts w:ascii="Times New Roman" w:hAnsi="Times New Roman"/>
        </w:rPr>
        <w:t>&lt;</w:t>
      </w:r>
      <w:r w:rsidRPr="00D637FF">
        <w:rPr>
          <w:rFonts w:ascii="Times New Roman" w:hAnsi="Times New Roman"/>
        </w:rPr>
        <w:t>https://europa.eu/eurobarometer/surveys/detail/2666</w:t>
      </w:r>
      <w:r w:rsidRPr="00D637FF">
        <w:rPr>
          <w:rFonts w:ascii="Times New Roman" w:hAnsi="Times New Roman"/>
        </w:rPr>
        <w:t>&gt;</w:t>
      </w:r>
      <w:r w:rsidRPr="00D637FF">
        <w:rPr>
          <w:rFonts w:ascii="Times New Roman" w:hAnsi="Times New Roman"/>
        </w:rPr>
        <w:t>.</w:t>
      </w:r>
    </w:p>
  </w:footnote>
  <w:footnote w:id="2">
    <w:p w14:paraId="21E57AF0" w14:textId="19633EC0" w:rsidR="000F0420" w:rsidRPr="00D637FF" w:rsidRDefault="000F0420" w:rsidP="000F0420">
      <w:pPr>
        <w:pStyle w:val="FootnoteText"/>
        <w:rPr>
          <w:rFonts w:ascii="Times New Roman" w:hAnsi="Times New Roman"/>
        </w:rPr>
      </w:pPr>
      <w:r w:rsidRPr="00D637FF">
        <w:rPr>
          <w:rStyle w:val="FootnoteReference"/>
          <w:rFonts w:ascii="Times New Roman" w:hAnsi="Times New Roman"/>
        </w:rPr>
        <w:footnoteRef/>
      </w:r>
      <w:r w:rsidRPr="00D637FF">
        <w:rPr>
          <w:rFonts w:ascii="Times New Roman" w:hAnsi="Times New Roman"/>
        </w:rPr>
        <w:t xml:space="preserve"> Aleksandr </w:t>
      </w:r>
      <w:proofErr w:type="spellStart"/>
      <w:r w:rsidRPr="00D637FF">
        <w:rPr>
          <w:rFonts w:ascii="Times New Roman" w:hAnsi="Times New Roman"/>
        </w:rPr>
        <w:t>Alekseenko</w:t>
      </w:r>
      <w:proofErr w:type="spellEnd"/>
      <w:r w:rsidRPr="00D637FF">
        <w:rPr>
          <w:rFonts w:ascii="Times New Roman" w:hAnsi="Times New Roman"/>
        </w:rPr>
        <w:t>, ‘Model Framework for Consumer Protection and Crypto-Exchanges Regulation’ (2023) 16</w:t>
      </w:r>
      <w:r w:rsidRPr="00D637FF">
        <w:rPr>
          <w:rFonts w:ascii="Times New Roman" w:hAnsi="Times New Roman"/>
        </w:rPr>
        <w:t xml:space="preserve"> </w:t>
      </w:r>
      <w:r w:rsidRPr="00D637FF">
        <w:rPr>
          <w:rFonts w:ascii="Times New Roman" w:hAnsi="Times New Roman"/>
          <w:i/>
          <w:iCs/>
        </w:rPr>
        <w:t xml:space="preserve">J. Risk Financial </w:t>
      </w:r>
      <w:proofErr w:type="spellStart"/>
      <w:r w:rsidRPr="00D637FF">
        <w:rPr>
          <w:rFonts w:ascii="Times New Roman" w:hAnsi="Times New Roman"/>
          <w:i/>
          <w:iCs/>
        </w:rPr>
        <w:t>Manag</w:t>
      </w:r>
      <w:proofErr w:type="spellEnd"/>
      <w:r w:rsidRPr="00D637FF">
        <w:rPr>
          <w:rFonts w:ascii="Times New Roman" w:hAnsi="Times New Roman"/>
          <w:i/>
          <w:iCs/>
        </w:rPr>
        <w:t xml:space="preserve"> </w:t>
      </w:r>
      <w:r w:rsidRPr="00D637FF">
        <w:rPr>
          <w:rFonts w:ascii="Times New Roman" w:hAnsi="Times New Roman"/>
        </w:rPr>
        <w:t>305</w:t>
      </w:r>
      <w:r w:rsidRPr="00D637FF">
        <w:rPr>
          <w:rFonts w:ascii="Times New Roman" w:hAnsi="Times New Roman"/>
        </w:rPr>
        <w:t>, available at: &lt;</w:t>
      </w:r>
      <w:r w:rsidRPr="00D637FF">
        <w:rPr>
          <w:rFonts w:ascii="Times New Roman" w:hAnsi="Times New Roman"/>
        </w:rPr>
        <w:t>https://doi.org/10.3390/jrfm16070305</w:t>
      </w:r>
      <w:r w:rsidRPr="00D637FF">
        <w:rPr>
          <w:rFonts w:ascii="Times New Roman" w:hAnsi="Times New Roman"/>
        </w:rPr>
        <w:t>&gt;.</w:t>
      </w:r>
    </w:p>
  </w:footnote>
  <w:footnote w:id="3">
    <w:p w14:paraId="08CB9D17" w14:textId="77777777" w:rsidR="000F0420" w:rsidRPr="00D637FF" w:rsidRDefault="000F0420" w:rsidP="000F0420">
      <w:pPr>
        <w:pStyle w:val="FootnoteText"/>
        <w:rPr>
          <w:rFonts w:ascii="Times New Roman" w:hAnsi="Times New Roman"/>
        </w:rPr>
      </w:pPr>
      <w:r w:rsidRPr="00D637FF">
        <w:rPr>
          <w:rStyle w:val="FootnoteReference"/>
          <w:rFonts w:ascii="Times New Roman" w:hAnsi="Times New Roman"/>
        </w:rPr>
        <w:footnoteRef/>
      </w:r>
      <w:r w:rsidRPr="00D637FF">
        <w:rPr>
          <w:rFonts w:ascii="Times New Roman" w:hAnsi="Times New Roman"/>
        </w:rPr>
        <w:t xml:space="preserve"> See e.g. Ilya Kokorin, ‘Crypto Insolvencies and the Limits of a Contract and Contract Law’ (2023) 31 </w:t>
      </w:r>
      <w:r w:rsidRPr="00D637FF">
        <w:rPr>
          <w:rFonts w:ascii="Times New Roman" w:hAnsi="Times New Roman"/>
          <w:i/>
          <w:iCs/>
        </w:rPr>
        <w:t>European Review of Private Law</w:t>
      </w:r>
      <w:r w:rsidRPr="00D637FF">
        <w:rPr>
          <w:rFonts w:ascii="Times New Roman" w:hAnsi="Times New Roman"/>
        </w:rPr>
        <w:t xml:space="preserve"> 1245</w:t>
      </w:r>
      <w:r w:rsidRPr="00D637FF">
        <w:rPr>
          <w:rFonts w:ascii="Times New Roman" w:hAnsi="Times New Roman"/>
        </w:rPr>
        <w:t>;</w:t>
      </w:r>
      <w:r w:rsidRPr="00D637FF">
        <w:rPr>
          <w:rFonts w:ascii="Times New Roman" w:hAnsi="Times New Roman"/>
        </w:rPr>
        <w:t xml:space="preserve"> Dirk </w:t>
      </w:r>
      <w:proofErr w:type="spellStart"/>
      <w:r w:rsidRPr="00D637FF">
        <w:rPr>
          <w:rFonts w:ascii="Times New Roman" w:hAnsi="Times New Roman"/>
        </w:rPr>
        <w:t>Zetzsche</w:t>
      </w:r>
      <w:proofErr w:type="spellEnd"/>
      <w:r w:rsidRPr="00D637FF">
        <w:rPr>
          <w:rFonts w:ascii="Times New Roman" w:hAnsi="Times New Roman"/>
        </w:rPr>
        <w:t xml:space="preserve"> and </w:t>
      </w:r>
      <w:proofErr w:type="spellStart"/>
      <w:r w:rsidRPr="00D637FF">
        <w:rPr>
          <w:rFonts w:ascii="Times New Roman" w:hAnsi="Times New Roman"/>
        </w:rPr>
        <w:t>Areti</w:t>
      </w:r>
      <w:proofErr w:type="spellEnd"/>
      <w:r w:rsidRPr="00D637FF">
        <w:rPr>
          <w:rFonts w:ascii="Times New Roman" w:hAnsi="Times New Roman"/>
        </w:rPr>
        <w:t xml:space="preserve"> </w:t>
      </w:r>
      <w:proofErr w:type="spellStart"/>
      <w:r w:rsidRPr="00D637FF">
        <w:rPr>
          <w:rFonts w:ascii="Times New Roman" w:hAnsi="Times New Roman"/>
        </w:rPr>
        <w:t>Nikolakopoulou</w:t>
      </w:r>
      <w:proofErr w:type="spellEnd"/>
      <w:r w:rsidRPr="00D637FF">
        <w:rPr>
          <w:rFonts w:ascii="Times New Roman" w:hAnsi="Times New Roman"/>
        </w:rPr>
        <w:t>, ‘Crypto Custody and Crypto Wallets – An Empirical Assessment’ (</w:t>
      </w:r>
      <w:r w:rsidRPr="00D637FF">
        <w:rPr>
          <w:rFonts w:ascii="Times New Roman" w:hAnsi="Times New Roman"/>
        </w:rPr>
        <w:t xml:space="preserve">22 </w:t>
      </w:r>
      <w:r w:rsidRPr="00D637FF">
        <w:rPr>
          <w:rFonts w:ascii="Times New Roman" w:hAnsi="Times New Roman"/>
        </w:rPr>
        <w:t>March 2024)</w:t>
      </w:r>
      <w:r w:rsidRPr="00D637FF">
        <w:rPr>
          <w:rFonts w:ascii="Times New Roman" w:hAnsi="Times New Roman"/>
        </w:rPr>
        <w:t>, a</w:t>
      </w:r>
      <w:r w:rsidRPr="00D637FF">
        <w:rPr>
          <w:rFonts w:ascii="Times New Roman" w:hAnsi="Times New Roman"/>
        </w:rPr>
        <w:t xml:space="preserve">vailable </w:t>
      </w:r>
      <w:r w:rsidRPr="00D637FF">
        <w:rPr>
          <w:rFonts w:ascii="Times New Roman" w:hAnsi="Times New Roman"/>
        </w:rPr>
        <w:t xml:space="preserve">via </w:t>
      </w:r>
      <w:r w:rsidRPr="00D637FF">
        <w:rPr>
          <w:rFonts w:ascii="Times New Roman" w:hAnsi="Times New Roman"/>
        </w:rPr>
        <w:t>SSRN</w:t>
      </w:r>
      <w:r w:rsidRPr="00D637FF">
        <w:rPr>
          <w:rFonts w:ascii="Times New Roman" w:hAnsi="Times New Roman"/>
        </w:rPr>
        <w:t xml:space="preserve"> at</w:t>
      </w:r>
      <w:r w:rsidRPr="00D637FF">
        <w:rPr>
          <w:rFonts w:ascii="Times New Roman" w:hAnsi="Times New Roman"/>
        </w:rPr>
        <w:t>:</w:t>
      </w:r>
    </w:p>
    <w:p w14:paraId="7BAA18FC" w14:textId="3CD849A3" w:rsidR="000F0420" w:rsidRPr="00D637FF" w:rsidRDefault="000F0420" w:rsidP="000F0420">
      <w:pPr>
        <w:pStyle w:val="FootnoteText"/>
        <w:rPr>
          <w:rFonts w:ascii="Times New Roman" w:hAnsi="Times New Roman"/>
        </w:rPr>
      </w:pPr>
      <w:r w:rsidRPr="00D637FF">
        <w:rPr>
          <w:rFonts w:ascii="Times New Roman" w:hAnsi="Times New Roman"/>
        </w:rPr>
        <w:t>&lt;</w:t>
      </w:r>
      <w:hyperlink r:id="rId1" w:tgtFrame="_blank" w:history="1">
        <w:r w:rsidRPr="00D637FF">
          <w:rPr>
            <w:rStyle w:val="Hyperlink"/>
            <w:rFonts w:ascii="Times New Roman" w:hAnsi="Times New Roman"/>
            <w:color w:val="auto"/>
            <w:u w:val="none"/>
          </w:rPr>
          <w:t>https://ssrn.com/abstract=4769396</w:t>
        </w:r>
      </w:hyperlink>
      <w:r w:rsidRPr="00D637FF">
        <w:rPr>
          <w:rStyle w:val="Hyperlink"/>
          <w:rFonts w:ascii="Times New Roman" w:hAnsi="Times New Roman"/>
          <w:color w:val="auto"/>
          <w:u w:val="none"/>
        </w:rPr>
        <w:t>;</w:t>
      </w:r>
      <w:r w:rsidRPr="00D637FF">
        <w:rPr>
          <w:rFonts w:ascii="Times New Roman" w:hAnsi="Times New Roman"/>
        </w:rPr>
        <w:t xml:space="preserve"> &lt;</w:t>
      </w:r>
      <w:hyperlink r:id="rId2" w:tgtFrame="_blank" w:history="1">
        <w:r w:rsidRPr="00D637FF">
          <w:rPr>
            <w:rStyle w:val="Hyperlink"/>
            <w:rFonts w:ascii="Times New Roman" w:hAnsi="Times New Roman"/>
            <w:color w:val="auto"/>
            <w:u w:val="none"/>
          </w:rPr>
          <w:t>http://dx.doi.org/10.2139/ssrn.4769396</w:t>
        </w:r>
      </w:hyperlink>
      <w:r w:rsidRPr="00D637FF">
        <w:rPr>
          <w:rStyle w:val="Hyperlink"/>
          <w:rFonts w:ascii="Times New Roman" w:hAnsi="Times New Roman"/>
          <w:color w:val="auto"/>
          <w:u w:val="none"/>
        </w:rPr>
        <w:t>&gt;</w:t>
      </w:r>
      <w:r w:rsidRPr="00D637FF">
        <w:rPr>
          <w:rFonts w:ascii="Times New Roman" w:hAnsi="Times New Roman"/>
        </w:rPr>
        <w:t>.</w:t>
      </w:r>
    </w:p>
  </w:footnote>
  <w:footnote w:id="4">
    <w:p w14:paraId="4E5E667D" w14:textId="15643512" w:rsidR="000F0420" w:rsidRPr="00D637FF" w:rsidRDefault="000F0420" w:rsidP="000F0420">
      <w:pPr>
        <w:pStyle w:val="FootnoteText"/>
        <w:rPr>
          <w:rFonts w:ascii="Times New Roman" w:hAnsi="Times New Roman"/>
        </w:rPr>
      </w:pPr>
      <w:r w:rsidRPr="00D637FF">
        <w:rPr>
          <w:rStyle w:val="FootnoteReference"/>
          <w:rFonts w:ascii="Times New Roman" w:hAnsi="Times New Roman"/>
        </w:rPr>
        <w:footnoteRef/>
      </w:r>
      <w:r w:rsidRPr="00D637FF">
        <w:rPr>
          <w:rFonts w:ascii="Times New Roman" w:hAnsi="Times New Roman"/>
        </w:rPr>
        <w:t xml:space="preserve"> Briefly discussed by Vivian Fang, ‘FTX Bankruptcy – A Failure of Centralized Governance in the Name of Decentralized Cryptocurrencies’ </w:t>
      </w:r>
      <w:r w:rsidRPr="00D637FF">
        <w:rPr>
          <w:rFonts w:ascii="Times New Roman" w:hAnsi="Times New Roman"/>
        </w:rPr>
        <w:t>(</w:t>
      </w:r>
      <w:r w:rsidRPr="00D637FF">
        <w:rPr>
          <w:rFonts w:ascii="Times New Roman" w:hAnsi="Times New Roman"/>
        </w:rPr>
        <w:t>Harvard Law School Bankruptcy Roundtable</w:t>
      </w:r>
      <w:r w:rsidRPr="00D637FF">
        <w:rPr>
          <w:rFonts w:ascii="Times New Roman" w:hAnsi="Times New Roman"/>
        </w:rPr>
        <w:t>, 28 February 2023)</w:t>
      </w:r>
      <w:r w:rsidRPr="00D637FF">
        <w:rPr>
          <w:rFonts w:ascii="Times New Roman" w:hAnsi="Times New Roman"/>
        </w:rPr>
        <w:t>, available at</w:t>
      </w:r>
      <w:r w:rsidRPr="00D637FF">
        <w:rPr>
          <w:rFonts w:ascii="Times New Roman" w:hAnsi="Times New Roman"/>
        </w:rPr>
        <w:t>:</w:t>
      </w:r>
    </w:p>
    <w:p w14:paraId="478D668B" w14:textId="4054A66A" w:rsidR="000F0420" w:rsidRPr="00D637FF" w:rsidRDefault="000F0420" w:rsidP="000F0420">
      <w:pPr>
        <w:pStyle w:val="FootnoteText"/>
        <w:rPr>
          <w:rFonts w:ascii="Times New Roman" w:hAnsi="Times New Roman"/>
        </w:rPr>
      </w:pPr>
      <w:r w:rsidRPr="00D637FF">
        <w:rPr>
          <w:rFonts w:ascii="Times New Roman" w:hAnsi="Times New Roman"/>
        </w:rPr>
        <w:t>&lt;</w:t>
      </w:r>
      <w:hyperlink r:id="rId3" w:history="1">
        <w:r w:rsidRPr="00D637FF">
          <w:rPr>
            <w:rStyle w:val="Hyperlink"/>
            <w:rFonts w:ascii="Times New Roman" w:hAnsi="Times New Roman"/>
            <w:color w:val="auto"/>
            <w:u w:val="none"/>
          </w:rPr>
          <w:t>https://bankruptcyroundtable.law.harvard.edu/2023/02/28/crypto-bankruptcy-series-ftx-bankruptcy-a-failure-of-centralized-governance-in-the-name-of-decentralized-cryptocurrencies/</w:t>
        </w:r>
      </w:hyperlink>
      <w:r w:rsidRPr="00D637FF">
        <w:rPr>
          <w:rFonts w:ascii="Times New Roman" w:hAnsi="Times New Roman"/>
        </w:rPr>
        <w:t>&gt;.</w:t>
      </w:r>
    </w:p>
  </w:footnote>
  <w:footnote w:id="5">
    <w:p w14:paraId="531325BE" w14:textId="209BD04E" w:rsidR="000F0420" w:rsidRPr="00D637FF" w:rsidRDefault="000F0420" w:rsidP="000F0420">
      <w:pPr>
        <w:pStyle w:val="FootnoteText"/>
        <w:rPr>
          <w:rFonts w:ascii="Times New Roman" w:hAnsi="Times New Roman"/>
        </w:rPr>
      </w:pPr>
      <w:r w:rsidRPr="00D637FF">
        <w:rPr>
          <w:rStyle w:val="FootnoteReference"/>
          <w:rFonts w:ascii="Times New Roman" w:hAnsi="Times New Roman"/>
        </w:rPr>
        <w:footnoteRef/>
      </w:r>
      <w:r w:rsidRPr="00D637FF">
        <w:rPr>
          <w:rFonts w:ascii="Times New Roman" w:hAnsi="Times New Roman"/>
        </w:rPr>
        <w:t xml:space="preserve"> See e.g. Ethereum, ‘Proof of Stake’, </w:t>
      </w:r>
      <w:r w:rsidRPr="00D637FF">
        <w:rPr>
          <w:rFonts w:ascii="Times New Roman" w:hAnsi="Times New Roman"/>
        </w:rPr>
        <w:t>available at:</w:t>
      </w:r>
    </w:p>
    <w:p w14:paraId="16A3CB06" w14:textId="78197FAE" w:rsidR="000F0420" w:rsidRPr="00D637FF" w:rsidRDefault="000F0420" w:rsidP="000F0420">
      <w:pPr>
        <w:pStyle w:val="FootnoteText"/>
        <w:rPr>
          <w:rFonts w:ascii="Times New Roman" w:hAnsi="Times New Roman"/>
        </w:rPr>
      </w:pPr>
      <w:r w:rsidRPr="00D637FF">
        <w:rPr>
          <w:rFonts w:ascii="Times New Roman" w:hAnsi="Times New Roman"/>
        </w:rPr>
        <w:t>&lt;</w:t>
      </w:r>
      <w:hyperlink r:id="rId4" w:history="1">
        <w:r w:rsidRPr="00D637FF">
          <w:rPr>
            <w:rStyle w:val="Hyperlink"/>
            <w:rFonts w:ascii="Times New Roman" w:hAnsi="Times New Roman"/>
            <w:color w:val="auto"/>
            <w:u w:val="none"/>
          </w:rPr>
          <w:t>https://ethereum.org/en/developers/docs/consensus-mechanisms/pos/</w:t>
        </w:r>
      </w:hyperlink>
      <w:r w:rsidRPr="00D637FF">
        <w:rPr>
          <w:rFonts w:ascii="Times New Roman" w:hAnsi="Times New Roman"/>
        </w:rPr>
        <w:t>&gt;</w:t>
      </w:r>
      <w:r w:rsidRPr="00D637FF">
        <w:rPr>
          <w:rFonts w:ascii="Times New Roman" w:hAnsi="Times New Roman"/>
        </w:rPr>
        <w:t>.</w:t>
      </w:r>
    </w:p>
  </w:footnote>
  <w:footnote w:id="6">
    <w:p w14:paraId="24B06791" w14:textId="55ED1416" w:rsidR="000F0420" w:rsidRPr="00D637FF" w:rsidRDefault="000F0420" w:rsidP="000F0420">
      <w:pPr>
        <w:pStyle w:val="FootnoteText"/>
        <w:rPr>
          <w:rFonts w:ascii="Times New Roman" w:hAnsi="Times New Roman"/>
        </w:rPr>
      </w:pPr>
      <w:r w:rsidRPr="00D637FF">
        <w:rPr>
          <w:rStyle w:val="FootnoteReference"/>
          <w:rFonts w:ascii="Times New Roman" w:hAnsi="Times New Roman"/>
        </w:rPr>
        <w:footnoteRef/>
      </w:r>
      <w:r w:rsidRPr="00D637FF">
        <w:rPr>
          <w:rFonts w:ascii="Times New Roman" w:hAnsi="Times New Roman"/>
        </w:rPr>
        <w:t xml:space="preserve"> </w:t>
      </w:r>
      <w:r w:rsidR="00D637FF" w:rsidRPr="00D637FF">
        <w:rPr>
          <w:rFonts w:ascii="Times New Roman" w:hAnsi="Times New Roman"/>
        </w:rPr>
        <w:t xml:space="preserve">See </w:t>
      </w:r>
      <w:r w:rsidRPr="00D637FF">
        <w:rPr>
          <w:rFonts w:ascii="Times New Roman" w:hAnsi="Times New Roman"/>
        </w:rPr>
        <w:t xml:space="preserve">Rebecca Parry and </w:t>
      </w:r>
      <w:proofErr w:type="spellStart"/>
      <w:r w:rsidRPr="00D637FF">
        <w:rPr>
          <w:rFonts w:ascii="Times New Roman" w:hAnsi="Times New Roman"/>
        </w:rPr>
        <w:t>Hakan</w:t>
      </w:r>
      <w:proofErr w:type="spellEnd"/>
      <w:r w:rsidRPr="00D637FF">
        <w:rPr>
          <w:rFonts w:ascii="Times New Roman" w:hAnsi="Times New Roman"/>
        </w:rPr>
        <w:t xml:space="preserve"> </w:t>
      </w:r>
      <w:proofErr w:type="spellStart"/>
      <w:r w:rsidRPr="00D637FF">
        <w:rPr>
          <w:rFonts w:ascii="Times New Roman" w:hAnsi="Times New Roman"/>
        </w:rPr>
        <w:t>Sahin</w:t>
      </w:r>
      <w:proofErr w:type="spellEnd"/>
      <w:r w:rsidRPr="00D637FF">
        <w:rPr>
          <w:rFonts w:ascii="Times New Roman" w:hAnsi="Times New Roman"/>
        </w:rPr>
        <w:t>, ‘</w:t>
      </w:r>
      <w:proofErr w:type="spellStart"/>
      <w:r w:rsidRPr="00D637FF">
        <w:rPr>
          <w:rFonts w:ascii="Times New Roman" w:hAnsi="Times New Roman"/>
        </w:rPr>
        <w:t>Cryptoassets</w:t>
      </w:r>
      <w:proofErr w:type="spellEnd"/>
      <w:r w:rsidRPr="00D637FF">
        <w:rPr>
          <w:rFonts w:ascii="Times New Roman" w:hAnsi="Times New Roman"/>
        </w:rPr>
        <w:t>, expectation gaps and consumer protection: The case of Türkiye’ (forthcoming).</w:t>
      </w:r>
    </w:p>
  </w:footnote>
  <w:footnote w:id="7">
    <w:p w14:paraId="1E81FCF8" w14:textId="77777777" w:rsidR="000F0420" w:rsidRPr="00D637FF" w:rsidRDefault="000F0420" w:rsidP="000F0420">
      <w:pPr>
        <w:pStyle w:val="FootnoteText"/>
        <w:rPr>
          <w:rFonts w:ascii="Times New Roman" w:hAnsi="Times New Roman"/>
        </w:rPr>
      </w:pPr>
      <w:r w:rsidRPr="00D637FF">
        <w:rPr>
          <w:rStyle w:val="FootnoteReference"/>
          <w:rFonts w:ascii="Times New Roman" w:hAnsi="Times New Roman"/>
        </w:rPr>
        <w:footnoteRef/>
      </w:r>
      <w:r w:rsidRPr="00D637FF">
        <w:rPr>
          <w:rFonts w:ascii="Times New Roman" w:hAnsi="Times New Roman"/>
        </w:rPr>
        <w:t xml:space="preserve"> Regulation of the European Parliament and of the Council on Markets in Crypto-assets COM/2020/593.</w:t>
      </w:r>
    </w:p>
  </w:footnote>
  <w:footnote w:id="8">
    <w:p w14:paraId="7BD28105" w14:textId="49B9CE34" w:rsidR="000F0420" w:rsidRPr="00D637FF" w:rsidRDefault="000F0420" w:rsidP="000F0420">
      <w:pPr>
        <w:pStyle w:val="FootnoteText"/>
        <w:rPr>
          <w:rFonts w:ascii="Times New Roman" w:hAnsi="Times New Roman"/>
        </w:rPr>
      </w:pPr>
      <w:r w:rsidRPr="00D637FF">
        <w:rPr>
          <w:rStyle w:val="FootnoteReference"/>
          <w:rFonts w:ascii="Times New Roman" w:hAnsi="Times New Roman"/>
        </w:rPr>
        <w:footnoteRef/>
      </w:r>
      <w:r w:rsidRPr="00D637FF">
        <w:rPr>
          <w:rFonts w:ascii="Times New Roman" w:hAnsi="Times New Roman"/>
        </w:rPr>
        <w:t xml:space="preserve"> Financial Conduct Authority, ‘</w:t>
      </w:r>
      <w:proofErr w:type="spellStart"/>
      <w:r w:rsidRPr="00D637FF">
        <w:rPr>
          <w:rFonts w:ascii="Times New Roman" w:hAnsi="Times New Roman"/>
        </w:rPr>
        <w:t>Cryptoassets</w:t>
      </w:r>
      <w:proofErr w:type="spellEnd"/>
      <w:r w:rsidRPr="00D637FF">
        <w:rPr>
          <w:rFonts w:ascii="Times New Roman" w:hAnsi="Times New Roman"/>
        </w:rPr>
        <w:t>’,</w:t>
      </w:r>
      <w:r w:rsidR="00D637FF" w:rsidRPr="00D637FF">
        <w:rPr>
          <w:rFonts w:ascii="Times New Roman" w:hAnsi="Times New Roman"/>
        </w:rPr>
        <w:t xml:space="preserve"> available at:</w:t>
      </w:r>
      <w:r w:rsidRPr="00D637FF">
        <w:rPr>
          <w:rFonts w:ascii="Times New Roman" w:hAnsi="Times New Roman"/>
        </w:rPr>
        <w:t xml:space="preserve"> </w:t>
      </w:r>
      <w:r w:rsidR="00D637FF" w:rsidRPr="00D637FF">
        <w:rPr>
          <w:rFonts w:ascii="Times New Roman" w:hAnsi="Times New Roman"/>
        </w:rPr>
        <w:t>&lt;</w:t>
      </w:r>
      <w:hyperlink r:id="rId5" w:history="1">
        <w:r w:rsidR="00D637FF" w:rsidRPr="00D637FF">
          <w:rPr>
            <w:rStyle w:val="Hyperlink"/>
            <w:rFonts w:ascii="Times New Roman" w:hAnsi="Times New Roman"/>
            <w:color w:val="auto"/>
            <w:u w:val="none"/>
          </w:rPr>
          <w:t>https://www.fca.org.uk/firms/cryptoassets-information</w:t>
        </w:r>
      </w:hyperlink>
      <w:r w:rsidR="00D637FF" w:rsidRPr="00D637FF">
        <w:rPr>
          <w:rFonts w:ascii="Times New Roman" w:hAnsi="Times New Roman"/>
        </w:rPr>
        <w:t>&gt;</w:t>
      </w:r>
      <w:r w:rsidRPr="00D637FF">
        <w:rPr>
          <w:rFonts w:ascii="Times New Roman" w:hAnsi="Times New Roman"/>
        </w:rPr>
        <w:t>.</w:t>
      </w:r>
    </w:p>
  </w:footnote>
  <w:footnote w:id="9">
    <w:p w14:paraId="55AC8F3B" w14:textId="351F063E" w:rsidR="000F0420" w:rsidRPr="00D637FF" w:rsidRDefault="000F0420" w:rsidP="000F0420">
      <w:pPr>
        <w:pStyle w:val="FootnoteText"/>
        <w:rPr>
          <w:rFonts w:ascii="Times New Roman" w:hAnsi="Times New Roman"/>
        </w:rPr>
      </w:pPr>
      <w:r w:rsidRPr="00D637FF">
        <w:rPr>
          <w:rStyle w:val="FootnoteReference"/>
          <w:rFonts w:ascii="Times New Roman" w:hAnsi="Times New Roman"/>
        </w:rPr>
        <w:footnoteRef/>
      </w:r>
      <w:r w:rsidRPr="00D637FF">
        <w:rPr>
          <w:rFonts w:ascii="Times New Roman" w:hAnsi="Times New Roman"/>
        </w:rPr>
        <w:t xml:space="preserve"> For an overview</w:t>
      </w:r>
      <w:r w:rsidR="00D637FF" w:rsidRPr="00D637FF">
        <w:rPr>
          <w:rFonts w:ascii="Times New Roman" w:hAnsi="Times New Roman"/>
        </w:rPr>
        <w:t>,</w:t>
      </w:r>
      <w:r w:rsidRPr="00D637FF">
        <w:rPr>
          <w:rFonts w:ascii="Times New Roman" w:hAnsi="Times New Roman"/>
        </w:rPr>
        <w:t xml:space="preserve"> see Osborne Clarke, ‘Singapore's regulators set pace for blockchain and fintech 'ecosystem' advances’</w:t>
      </w:r>
      <w:r w:rsidR="00D637FF" w:rsidRPr="00D637FF">
        <w:rPr>
          <w:rFonts w:ascii="Times New Roman" w:hAnsi="Times New Roman"/>
        </w:rPr>
        <w:t xml:space="preserve"> (17 October 2024), available at:</w:t>
      </w:r>
      <w:r w:rsidRPr="00D637FF">
        <w:rPr>
          <w:rFonts w:ascii="Times New Roman" w:hAnsi="Times New Roman"/>
        </w:rPr>
        <w:t xml:space="preserve"> </w:t>
      </w:r>
      <w:r w:rsidR="00D637FF" w:rsidRPr="00D637FF">
        <w:rPr>
          <w:rFonts w:ascii="Times New Roman" w:hAnsi="Times New Roman"/>
        </w:rPr>
        <w:t>&lt;</w:t>
      </w:r>
      <w:hyperlink r:id="rId6" w:history="1">
        <w:r w:rsidR="00D637FF" w:rsidRPr="00D637FF">
          <w:rPr>
            <w:rStyle w:val="Hyperlink"/>
            <w:rFonts w:ascii="Times New Roman" w:hAnsi="Times New Roman"/>
            <w:color w:val="auto"/>
            <w:u w:val="none"/>
          </w:rPr>
          <w:t>https://www.osborneclarke.com/insights/singapores-regulators-set-pace-blockchain-and-fintech-ecosystem-advances</w:t>
        </w:r>
      </w:hyperlink>
      <w:r w:rsidR="00D637FF" w:rsidRPr="00D637FF">
        <w:rPr>
          <w:rFonts w:ascii="Times New Roman" w:hAnsi="Times New Roman"/>
        </w:rPr>
        <w:t>&gt;</w:t>
      </w:r>
      <w:r w:rsidRPr="00D637FF">
        <w:rPr>
          <w:rFonts w:ascii="Times New Roman" w:hAnsi="Times New Roman"/>
        </w:rPr>
        <w:t>.</w:t>
      </w:r>
    </w:p>
  </w:footnote>
  <w:footnote w:id="10">
    <w:p w14:paraId="6B69A84E" w14:textId="77777777" w:rsidR="00D637FF" w:rsidRPr="00D637FF" w:rsidRDefault="000F0420" w:rsidP="000F0420">
      <w:pPr>
        <w:pStyle w:val="FootnoteText"/>
        <w:rPr>
          <w:rFonts w:ascii="Times New Roman" w:hAnsi="Times New Roman"/>
        </w:rPr>
      </w:pPr>
      <w:r w:rsidRPr="00D637FF">
        <w:rPr>
          <w:rStyle w:val="FootnoteReference"/>
          <w:rFonts w:ascii="Times New Roman" w:hAnsi="Times New Roman"/>
        </w:rPr>
        <w:footnoteRef/>
      </w:r>
      <w:r w:rsidRPr="00D637FF">
        <w:rPr>
          <w:rFonts w:ascii="Times New Roman" w:hAnsi="Times New Roman"/>
        </w:rPr>
        <w:t xml:space="preserve"> See UNIDROIT, ‘Digital Assets and Private Law’,</w:t>
      </w:r>
      <w:r w:rsidR="00D637FF" w:rsidRPr="00D637FF">
        <w:rPr>
          <w:rFonts w:ascii="Times New Roman" w:hAnsi="Times New Roman"/>
        </w:rPr>
        <w:t xml:space="preserve"> available at:</w:t>
      </w:r>
      <w:r w:rsidRPr="00D637FF">
        <w:rPr>
          <w:rFonts w:ascii="Times New Roman" w:hAnsi="Times New Roman"/>
        </w:rPr>
        <w:t xml:space="preserve"> </w:t>
      </w:r>
    </w:p>
    <w:p w14:paraId="57FFB25C" w14:textId="48F1DD70" w:rsidR="000F0420" w:rsidRPr="00D637FF" w:rsidRDefault="00D637FF" w:rsidP="000F0420">
      <w:pPr>
        <w:pStyle w:val="FootnoteText"/>
        <w:rPr>
          <w:rFonts w:ascii="Times New Roman" w:hAnsi="Times New Roman"/>
        </w:rPr>
      </w:pPr>
      <w:r w:rsidRPr="00D637FF">
        <w:rPr>
          <w:rFonts w:ascii="Times New Roman" w:hAnsi="Times New Roman"/>
        </w:rPr>
        <w:t>&lt;</w:t>
      </w:r>
      <w:hyperlink r:id="rId7" w:history="1">
        <w:r w:rsidRPr="00D637FF">
          <w:rPr>
            <w:rStyle w:val="Hyperlink"/>
            <w:rFonts w:ascii="Times New Roman" w:hAnsi="Times New Roman"/>
            <w:color w:val="auto"/>
            <w:u w:val="none"/>
          </w:rPr>
          <w:t>https://www.unidroit.org/work-in-progress/digital-assets-and-private-law/</w:t>
        </w:r>
      </w:hyperlink>
      <w:r w:rsidRPr="00D637FF">
        <w:rPr>
          <w:rFonts w:ascii="Times New Roman" w:hAnsi="Times New Roman"/>
        </w:rPr>
        <w:t>&gt;</w:t>
      </w:r>
      <w:r w:rsidR="000F0420" w:rsidRPr="00D637FF">
        <w:rPr>
          <w:rFonts w:ascii="Times New Roman" w:hAnsi="Times New Roman"/>
        </w:rPr>
        <w:t>.</w:t>
      </w:r>
    </w:p>
  </w:footnote>
  <w:footnote w:id="11">
    <w:p w14:paraId="0089A1E4" w14:textId="77777777" w:rsidR="00D637FF" w:rsidRPr="00D637FF" w:rsidRDefault="000F0420" w:rsidP="000F0420">
      <w:pPr>
        <w:pStyle w:val="FootnoteText"/>
        <w:rPr>
          <w:rFonts w:ascii="Times New Roman" w:hAnsi="Times New Roman"/>
        </w:rPr>
      </w:pPr>
      <w:r w:rsidRPr="00D637FF">
        <w:rPr>
          <w:rStyle w:val="FootnoteReference"/>
          <w:rFonts w:ascii="Times New Roman" w:hAnsi="Times New Roman"/>
        </w:rPr>
        <w:footnoteRef/>
      </w:r>
      <w:r w:rsidRPr="00D637FF">
        <w:rPr>
          <w:rFonts w:ascii="Times New Roman" w:hAnsi="Times New Roman"/>
        </w:rPr>
        <w:t xml:space="preserve"> UKJT Legal Statement on Digital Assets and English Insolvency Law, available </w:t>
      </w:r>
      <w:r w:rsidR="00D637FF" w:rsidRPr="00D637FF">
        <w:rPr>
          <w:rFonts w:ascii="Times New Roman" w:hAnsi="Times New Roman"/>
        </w:rPr>
        <w:t>at:</w:t>
      </w:r>
    </w:p>
    <w:p w14:paraId="076A4ACB" w14:textId="6770DFC0" w:rsidR="000F0420" w:rsidRPr="00D637FF" w:rsidRDefault="00D637FF" w:rsidP="000F0420">
      <w:pPr>
        <w:pStyle w:val="FootnoteText"/>
        <w:rPr>
          <w:rFonts w:ascii="Times New Roman" w:hAnsi="Times New Roman"/>
        </w:rPr>
      </w:pPr>
      <w:r w:rsidRPr="00D637FF">
        <w:rPr>
          <w:rFonts w:ascii="Times New Roman" w:hAnsi="Times New Roman"/>
        </w:rPr>
        <w:t>&lt;</w:t>
      </w:r>
      <w:hyperlink r:id="rId8" w:history="1">
        <w:r w:rsidR="000F0420" w:rsidRPr="00D637FF">
          <w:rPr>
            <w:rStyle w:val="Hyperlink"/>
            <w:rFonts w:ascii="Times New Roman" w:hAnsi="Times New Roman"/>
            <w:color w:val="auto"/>
            <w:u w:val="none"/>
          </w:rPr>
          <w:t>https://lawtechuk.io/our-reports/</w:t>
        </w:r>
      </w:hyperlink>
      <w:r w:rsidRPr="00D637FF">
        <w:rPr>
          <w:rFonts w:ascii="Times New Roman" w:hAnsi="Times New Roman"/>
        </w:rPr>
        <w:t>&gt;</w:t>
      </w:r>
      <w:r w:rsidR="000F0420" w:rsidRPr="00D637FF">
        <w:rPr>
          <w:rFonts w:ascii="Times New Roman" w:hAnsi="Times New Roman"/>
        </w:rPr>
        <w:t>.</w:t>
      </w:r>
    </w:p>
  </w:footnote>
  <w:footnote w:id="12">
    <w:p w14:paraId="13C3F948" w14:textId="77777777" w:rsidR="000F0420" w:rsidRPr="00D637FF" w:rsidRDefault="000F0420" w:rsidP="000F0420">
      <w:pPr>
        <w:pStyle w:val="FootnoteText"/>
        <w:rPr>
          <w:rFonts w:ascii="Times New Roman" w:hAnsi="Times New Roman"/>
        </w:rPr>
      </w:pPr>
      <w:r w:rsidRPr="00D637FF">
        <w:rPr>
          <w:rStyle w:val="FootnoteReference"/>
          <w:rFonts w:ascii="Times New Roman" w:hAnsi="Times New Roman"/>
        </w:rPr>
        <w:footnoteRef/>
      </w:r>
      <w:r w:rsidRPr="00D637FF">
        <w:rPr>
          <w:rFonts w:ascii="Times New Roman" w:hAnsi="Times New Roman"/>
        </w:rPr>
        <w:t xml:space="preserve"> This was a finding of our study that will be discussed in a forthcoming longer article.</w:t>
      </w:r>
    </w:p>
  </w:footnote>
  <w:footnote w:id="13">
    <w:p w14:paraId="603F0716" w14:textId="65E8D903" w:rsidR="000F0420" w:rsidRPr="00D637FF" w:rsidRDefault="000F0420" w:rsidP="000F0420">
      <w:pPr>
        <w:pStyle w:val="FootnoteText"/>
        <w:rPr>
          <w:rFonts w:ascii="Times New Roman" w:hAnsi="Times New Roman"/>
        </w:rPr>
      </w:pPr>
      <w:r w:rsidRPr="00D637FF">
        <w:rPr>
          <w:rStyle w:val="FootnoteReference"/>
          <w:rFonts w:ascii="Times New Roman" w:hAnsi="Times New Roman"/>
        </w:rPr>
        <w:footnoteRef/>
      </w:r>
      <w:r w:rsidRPr="00D637FF">
        <w:rPr>
          <w:rFonts w:ascii="Times New Roman" w:hAnsi="Times New Roman"/>
        </w:rPr>
        <w:t xml:space="preserve"> </w:t>
      </w:r>
      <w:r w:rsidR="00D637FF" w:rsidRPr="00D637FF">
        <w:rPr>
          <w:rFonts w:ascii="Times New Roman" w:hAnsi="Times New Roman"/>
        </w:rPr>
        <w:t xml:space="preserve">See </w:t>
      </w:r>
      <w:r w:rsidRPr="00D637FF">
        <w:rPr>
          <w:rFonts w:ascii="Times New Roman" w:hAnsi="Times New Roman"/>
        </w:rPr>
        <w:t>Kokorin</w:t>
      </w:r>
      <w:r w:rsidR="00D637FF" w:rsidRPr="00D637FF">
        <w:rPr>
          <w:rFonts w:ascii="Times New Roman" w:hAnsi="Times New Roman"/>
        </w:rPr>
        <w:t xml:space="preserve"> (above note 3)</w:t>
      </w:r>
      <w:r w:rsidRPr="00D637FF">
        <w:rPr>
          <w:rFonts w:ascii="Times New Roman" w:hAnsi="Times New Roman"/>
        </w:rPr>
        <w:t xml:space="preserve">; Matthias </w:t>
      </w:r>
      <w:proofErr w:type="spellStart"/>
      <w:r w:rsidRPr="00D637FF">
        <w:rPr>
          <w:rFonts w:ascii="Times New Roman" w:hAnsi="Times New Roman"/>
        </w:rPr>
        <w:t>Haentjens</w:t>
      </w:r>
      <w:proofErr w:type="spellEnd"/>
      <w:r w:rsidRPr="00D637FF">
        <w:rPr>
          <w:rFonts w:ascii="Times New Roman" w:hAnsi="Times New Roman"/>
        </w:rPr>
        <w:t xml:space="preserve">, Tycho De Graaf and Ilya Kokorin, ‘The Failed Hopes of Disintermediation: Crypto-Custodian Insolvency, Legal Risks and How to Avoid Them’ [2020] </w:t>
      </w:r>
      <w:r w:rsidRPr="00D637FF">
        <w:rPr>
          <w:rFonts w:ascii="Times New Roman" w:hAnsi="Times New Roman"/>
          <w:i/>
          <w:iCs/>
        </w:rPr>
        <w:t>Singapore Journal of Legal Studies</w:t>
      </w:r>
      <w:r w:rsidRPr="00D637FF">
        <w:rPr>
          <w:rFonts w:ascii="Times New Roman" w:hAnsi="Times New Roman"/>
        </w:rPr>
        <w:t xml:space="preserve"> 526-563; </w:t>
      </w:r>
      <w:proofErr w:type="spellStart"/>
      <w:r w:rsidRPr="00D637FF">
        <w:rPr>
          <w:rFonts w:ascii="Times New Roman" w:hAnsi="Times New Roman"/>
        </w:rPr>
        <w:t>Zetzsche</w:t>
      </w:r>
      <w:proofErr w:type="spellEnd"/>
      <w:r w:rsidRPr="00D637FF">
        <w:rPr>
          <w:rFonts w:ascii="Times New Roman" w:hAnsi="Times New Roman"/>
        </w:rPr>
        <w:t xml:space="preserve"> and </w:t>
      </w:r>
      <w:proofErr w:type="spellStart"/>
      <w:r w:rsidRPr="00D637FF">
        <w:rPr>
          <w:rFonts w:ascii="Times New Roman" w:hAnsi="Times New Roman"/>
        </w:rPr>
        <w:t>Nikolakopoulou</w:t>
      </w:r>
      <w:proofErr w:type="spellEnd"/>
      <w:r w:rsidR="00D637FF" w:rsidRPr="00D637FF">
        <w:rPr>
          <w:rFonts w:ascii="Times New Roman" w:hAnsi="Times New Roman"/>
        </w:rPr>
        <w:t xml:space="preserve"> (above note 3)</w:t>
      </w:r>
      <w:r w:rsidRPr="00D637FF">
        <w:rPr>
          <w:rFonts w:ascii="Times New Roman" w:hAnsi="Times New Roman"/>
        </w:rPr>
        <w:t>.</w:t>
      </w:r>
    </w:p>
  </w:footnote>
  <w:footnote w:id="14">
    <w:p w14:paraId="13CBED1B" w14:textId="77777777" w:rsidR="00D637FF" w:rsidRPr="00D637FF" w:rsidRDefault="000F0420" w:rsidP="000F0420">
      <w:pPr>
        <w:pStyle w:val="FootnoteText"/>
        <w:rPr>
          <w:rFonts w:ascii="Times New Roman" w:hAnsi="Times New Roman"/>
        </w:rPr>
      </w:pPr>
      <w:r w:rsidRPr="00D637FF">
        <w:rPr>
          <w:rStyle w:val="FootnoteReference"/>
          <w:rFonts w:ascii="Times New Roman" w:hAnsi="Times New Roman"/>
        </w:rPr>
        <w:footnoteRef/>
      </w:r>
      <w:r w:rsidRPr="00D637FF">
        <w:rPr>
          <w:rFonts w:ascii="Times New Roman" w:hAnsi="Times New Roman"/>
        </w:rPr>
        <w:t xml:space="preserve"> As suggested by Anthony Casey, Aurelio </w:t>
      </w:r>
      <w:proofErr w:type="spellStart"/>
      <w:r w:rsidRPr="00D637FF">
        <w:rPr>
          <w:rFonts w:ascii="Times New Roman" w:hAnsi="Times New Roman"/>
        </w:rPr>
        <w:t>Gurrea</w:t>
      </w:r>
      <w:proofErr w:type="spellEnd"/>
      <w:r w:rsidRPr="00D637FF">
        <w:rPr>
          <w:rFonts w:ascii="Times New Roman" w:hAnsi="Times New Roman"/>
        </w:rPr>
        <w:t>-Martínez and Robert Rasmussen, ‘A Commitment Rule for Insolvency Forum’ (</w:t>
      </w:r>
      <w:r w:rsidR="00D637FF" w:rsidRPr="00D637FF">
        <w:rPr>
          <w:rFonts w:ascii="Times New Roman" w:hAnsi="Times New Roman"/>
        </w:rPr>
        <w:t xml:space="preserve">23 </w:t>
      </w:r>
      <w:r w:rsidRPr="00D637FF">
        <w:rPr>
          <w:rFonts w:ascii="Times New Roman" w:hAnsi="Times New Roman"/>
        </w:rPr>
        <w:t xml:space="preserve">January 2024) </w:t>
      </w:r>
      <w:r w:rsidR="00D637FF" w:rsidRPr="00D637FF">
        <w:rPr>
          <w:rFonts w:ascii="Times New Roman" w:hAnsi="Times New Roman"/>
        </w:rPr>
        <w:t>(</w:t>
      </w:r>
      <w:r w:rsidRPr="00D637FF">
        <w:rPr>
          <w:rFonts w:ascii="Times New Roman" w:hAnsi="Times New Roman"/>
        </w:rPr>
        <w:t>European Corporate Governance Institute - Law Working Paper No. 754/2024</w:t>
      </w:r>
      <w:r w:rsidR="00D637FF" w:rsidRPr="00D637FF">
        <w:rPr>
          <w:rFonts w:ascii="Times New Roman" w:hAnsi="Times New Roman"/>
        </w:rPr>
        <w:t>)</w:t>
      </w:r>
      <w:r w:rsidRPr="00D637FF">
        <w:rPr>
          <w:rFonts w:ascii="Times New Roman" w:hAnsi="Times New Roman"/>
        </w:rPr>
        <w:t xml:space="preserve">, </w:t>
      </w:r>
      <w:r w:rsidR="00D637FF" w:rsidRPr="00D637FF">
        <w:rPr>
          <w:rFonts w:ascii="Times New Roman" w:hAnsi="Times New Roman"/>
        </w:rPr>
        <w:t>a</w:t>
      </w:r>
      <w:r w:rsidRPr="00D637FF">
        <w:rPr>
          <w:rFonts w:ascii="Times New Roman" w:hAnsi="Times New Roman"/>
        </w:rPr>
        <w:t xml:space="preserve">vailable </w:t>
      </w:r>
      <w:r w:rsidR="00D637FF" w:rsidRPr="00D637FF">
        <w:rPr>
          <w:rFonts w:ascii="Times New Roman" w:hAnsi="Times New Roman"/>
        </w:rPr>
        <w:t xml:space="preserve">via </w:t>
      </w:r>
      <w:r w:rsidRPr="00D637FF">
        <w:rPr>
          <w:rFonts w:ascii="Times New Roman" w:hAnsi="Times New Roman"/>
        </w:rPr>
        <w:t>SSRN</w:t>
      </w:r>
      <w:r w:rsidR="00D637FF" w:rsidRPr="00D637FF">
        <w:rPr>
          <w:rFonts w:ascii="Times New Roman" w:hAnsi="Times New Roman"/>
        </w:rPr>
        <w:t xml:space="preserve"> at</w:t>
      </w:r>
      <w:r w:rsidRPr="00D637FF">
        <w:rPr>
          <w:rFonts w:ascii="Times New Roman" w:hAnsi="Times New Roman"/>
        </w:rPr>
        <w:t>:</w:t>
      </w:r>
      <w:r w:rsidR="00D637FF" w:rsidRPr="00D637FF">
        <w:rPr>
          <w:rFonts w:ascii="Times New Roman" w:hAnsi="Times New Roman"/>
        </w:rPr>
        <w:t xml:space="preserve"> &lt;</w:t>
      </w:r>
      <w:hyperlink r:id="rId9" w:tgtFrame="_blank" w:history="1">
        <w:r w:rsidRPr="00D637FF">
          <w:rPr>
            <w:rFonts w:ascii="Times New Roman" w:hAnsi="Times New Roman"/>
          </w:rPr>
          <w:t>https://ssrn.com/abstract=4704029</w:t>
        </w:r>
      </w:hyperlink>
      <w:r w:rsidR="00D637FF" w:rsidRPr="00D637FF">
        <w:rPr>
          <w:rFonts w:ascii="Times New Roman" w:hAnsi="Times New Roman"/>
        </w:rPr>
        <w:t>&gt;;</w:t>
      </w:r>
    </w:p>
    <w:p w14:paraId="6CFFBF37" w14:textId="1153EDCB" w:rsidR="000F0420" w:rsidRPr="00D637FF" w:rsidRDefault="00D637FF" w:rsidP="000F0420">
      <w:pPr>
        <w:pStyle w:val="FootnoteText"/>
        <w:rPr>
          <w:rFonts w:ascii="Times New Roman" w:hAnsi="Times New Roman"/>
        </w:rPr>
      </w:pPr>
      <w:r w:rsidRPr="00D637FF">
        <w:rPr>
          <w:rFonts w:ascii="Times New Roman" w:hAnsi="Times New Roman"/>
        </w:rPr>
        <w:t>&lt;</w:t>
      </w:r>
      <w:hyperlink r:id="rId10" w:tgtFrame="_blank" w:history="1">
        <w:r w:rsidR="000F0420" w:rsidRPr="00D637FF">
          <w:rPr>
            <w:rFonts w:ascii="Times New Roman" w:hAnsi="Times New Roman"/>
          </w:rPr>
          <w:t>http://dx.doi.org/10.2139/ssrn.4704029</w:t>
        </w:r>
      </w:hyperlink>
      <w:r w:rsidRPr="00D637FF">
        <w:rPr>
          <w:rFonts w:ascii="Times New Roman" w:hAnsi="Times New Roman"/>
        </w:rPr>
        <w:t>&gt;</w:t>
      </w:r>
      <w:r w:rsidR="000F0420" w:rsidRPr="00D637FF">
        <w:rPr>
          <w:rFonts w:ascii="Times New Roman" w:hAnsi="Times New Roman"/>
        </w:rPr>
        <w:t>.</w:t>
      </w:r>
    </w:p>
  </w:footnote>
  <w:footnote w:id="15">
    <w:p w14:paraId="2A579439" w14:textId="2D54E74C" w:rsidR="000F0420" w:rsidRPr="000F0420" w:rsidRDefault="000F0420" w:rsidP="000F0420">
      <w:pPr>
        <w:pStyle w:val="FootnoteText"/>
        <w:rPr>
          <w:rFonts w:ascii="Times New Roman" w:hAnsi="Times New Roman"/>
        </w:rPr>
      </w:pPr>
      <w:r w:rsidRPr="000F0420">
        <w:rPr>
          <w:rStyle w:val="FootnoteReference"/>
          <w:rFonts w:ascii="Times New Roman" w:hAnsi="Times New Roman"/>
        </w:rPr>
        <w:footnoteRef/>
      </w:r>
      <w:r w:rsidRPr="000F0420">
        <w:rPr>
          <w:rFonts w:ascii="Times New Roman" w:hAnsi="Times New Roman"/>
        </w:rPr>
        <w:t xml:space="preserve"> </w:t>
      </w:r>
      <w:proofErr w:type="spellStart"/>
      <w:r w:rsidRPr="000F0420">
        <w:rPr>
          <w:rFonts w:ascii="Times New Roman" w:hAnsi="Times New Roman"/>
        </w:rPr>
        <w:t>Zetzsche</w:t>
      </w:r>
      <w:proofErr w:type="spellEnd"/>
      <w:r w:rsidRPr="000F0420">
        <w:rPr>
          <w:rFonts w:ascii="Times New Roman" w:hAnsi="Times New Roman"/>
        </w:rPr>
        <w:t xml:space="preserve"> and </w:t>
      </w:r>
      <w:proofErr w:type="spellStart"/>
      <w:r w:rsidRPr="000F0420">
        <w:rPr>
          <w:rFonts w:ascii="Times New Roman" w:hAnsi="Times New Roman"/>
        </w:rPr>
        <w:t>Nikolakopoulou</w:t>
      </w:r>
      <w:proofErr w:type="spellEnd"/>
      <w:r w:rsidR="00D637FF">
        <w:rPr>
          <w:rFonts w:ascii="Times New Roman" w:hAnsi="Times New Roman"/>
        </w:rPr>
        <w:t xml:space="preserve"> (above note 3)</w:t>
      </w:r>
      <w:r w:rsidRPr="000F0420"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8C893" w14:textId="6963A643" w:rsidR="00D90E9D" w:rsidRDefault="00BF3D3E" w:rsidP="00D90E9D">
    <w:pPr>
      <w:pStyle w:val="Header"/>
      <w:spacing w:after="0"/>
      <w:rPr>
        <w:rFonts w:ascii="Arial" w:hAnsi="Arial" w:cs="Arial"/>
        <w:b/>
        <w:sz w:val="20"/>
      </w:rPr>
    </w:pPr>
    <w:r w:rsidRPr="002331CA">
      <w:rPr>
        <w:rFonts w:ascii="Arial" w:hAnsi="Arial" w:cs="Arial"/>
        <w:b/>
        <w:sz w:val="20"/>
      </w:rPr>
      <w:t>Inside Story (</w:t>
    </w:r>
    <w:r w:rsidR="000F0420">
      <w:rPr>
        <w:rFonts w:ascii="Arial" w:hAnsi="Arial" w:cs="Arial"/>
        <w:b/>
        <w:sz w:val="20"/>
      </w:rPr>
      <w:t>April</w:t>
    </w:r>
    <w:r w:rsidR="002A5779" w:rsidRPr="002331CA">
      <w:rPr>
        <w:rFonts w:ascii="Arial" w:hAnsi="Arial" w:cs="Arial"/>
        <w:b/>
        <w:sz w:val="20"/>
      </w:rPr>
      <w:t xml:space="preserve"> 20</w:t>
    </w:r>
    <w:r w:rsidR="00087612" w:rsidRPr="002331CA">
      <w:rPr>
        <w:rFonts w:ascii="Arial" w:hAnsi="Arial" w:cs="Arial"/>
        <w:b/>
        <w:sz w:val="20"/>
      </w:rPr>
      <w:t>2</w:t>
    </w:r>
    <w:r w:rsidR="00D10A38">
      <w:rPr>
        <w:rFonts w:ascii="Arial" w:hAnsi="Arial" w:cs="Arial"/>
        <w:b/>
        <w:sz w:val="20"/>
      </w:rPr>
      <w:t>5</w:t>
    </w:r>
    <w:r w:rsidR="00D90E9D">
      <w:rPr>
        <w:rFonts w:ascii="Arial" w:hAnsi="Arial" w:cs="Arial"/>
        <w:b/>
        <w:sz w:val="20"/>
      </w:rPr>
      <w:t>)</w:t>
    </w:r>
  </w:p>
  <w:p w14:paraId="0F2C5C5A" w14:textId="300D4A7A" w:rsidR="00BF3D3E" w:rsidRPr="0011226B" w:rsidRDefault="000F0420" w:rsidP="00D90E9D">
    <w:pPr>
      <w:pStyle w:val="Header"/>
      <w:spacing w:after="0"/>
      <w:rPr>
        <w:rFonts w:ascii="Arial" w:hAnsi="Arial" w:cs="Arial"/>
        <w:b/>
        <w:sz w:val="20"/>
        <w:lang w:val="fr-FR"/>
      </w:rPr>
    </w:pPr>
    <w:r>
      <w:rPr>
        <w:rFonts w:ascii="Arial" w:hAnsi="Arial" w:cs="Arial"/>
        <w:b/>
        <w:sz w:val="20"/>
      </w:rPr>
      <w:t xml:space="preserve">Rebecca Parry </w:t>
    </w:r>
    <w:r w:rsidR="00640EFC" w:rsidRPr="0011226B">
      <w:rPr>
        <w:rFonts w:ascii="Arial" w:hAnsi="Arial" w:cs="Arial"/>
        <w:b/>
        <w:sz w:val="20"/>
        <w:lang w:val="fr-FR"/>
      </w:rPr>
      <w:t>(</w:t>
    </w:r>
    <w:r>
      <w:rPr>
        <w:rFonts w:ascii="Arial" w:hAnsi="Arial" w:cs="Arial"/>
        <w:b/>
        <w:sz w:val="20"/>
        <w:lang w:val="fr-FR"/>
      </w:rPr>
      <w:t>EU and International</w:t>
    </w:r>
    <w:r w:rsidR="00BF3D3E" w:rsidRPr="0011226B">
      <w:rPr>
        <w:rFonts w:ascii="Arial" w:hAnsi="Arial" w:cs="Arial"/>
        <w:b/>
        <w:sz w:val="20"/>
        <w:lang w:val="fr-FR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E79A6"/>
    <w:multiLevelType w:val="hybridMultilevel"/>
    <w:tmpl w:val="53124C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27F6E"/>
    <w:multiLevelType w:val="hybridMultilevel"/>
    <w:tmpl w:val="75E6650C"/>
    <w:lvl w:ilvl="0" w:tplc="86027A48">
      <w:start w:val="1"/>
      <w:numFmt w:val="decimal"/>
      <w:pStyle w:val="AgreementParties"/>
      <w:lvlText w:val="(%1)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000000"/>
        <w:sz w:val="21"/>
        <w:szCs w:val="22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A03051"/>
    <w:multiLevelType w:val="multilevel"/>
    <w:tmpl w:val="5986DCBC"/>
    <w:lvl w:ilvl="0">
      <w:start w:val="1"/>
      <w:numFmt w:val="decimal"/>
      <w:pStyle w:val="ScheduleClauses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000000"/>
        <w:sz w:val="21"/>
        <w:szCs w:val="22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sz w:val="21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74"/>
        </w:tabs>
        <w:ind w:left="1474" w:hanging="7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2041"/>
        </w:tabs>
        <w:ind w:left="2041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4">
      <w:start w:val="1"/>
      <w:numFmt w:val="lowerRoman"/>
      <w:lvlText w:val="(%5)"/>
      <w:lvlJc w:val="left"/>
      <w:pPr>
        <w:tabs>
          <w:tab w:val="num" w:pos="2608"/>
        </w:tabs>
        <w:ind w:left="2608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5">
      <w:start w:val="1"/>
      <w:numFmt w:val="decimal"/>
      <w:lvlText w:val="%1.%2.%3.%4.%5.%6"/>
      <w:lvlJc w:val="left"/>
      <w:pPr>
        <w:tabs>
          <w:tab w:val="num" w:pos="3629"/>
        </w:tabs>
        <w:ind w:left="3629" w:hanging="362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9"/>
        </w:tabs>
        <w:ind w:left="3969" w:hanging="396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744" w:hanging="374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4320"/>
      </w:pPr>
      <w:rPr>
        <w:rFonts w:hint="default"/>
      </w:rPr>
    </w:lvl>
  </w:abstractNum>
  <w:abstractNum w:abstractNumId="3" w15:restartNumberingAfterBreak="0">
    <w:nsid w:val="29E165EB"/>
    <w:multiLevelType w:val="multilevel"/>
    <w:tmpl w:val="6A966230"/>
    <w:lvl w:ilvl="0">
      <w:start w:val="1"/>
      <w:numFmt w:val="decimal"/>
      <w:pStyle w:val="AgreementHeading1"/>
      <w:lvlText w:val="%1."/>
      <w:lvlJc w:val="left"/>
      <w:pPr>
        <w:tabs>
          <w:tab w:val="num" w:pos="720"/>
        </w:tabs>
        <w:ind w:left="0" w:firstLine="0"/>
      </w:pPr>
      <w:rPr>
        <w:rFonts w:ascii="Calibri" w:hAnsi="Calibri" w:hint="default"/>
        <w:b w:val="0"/>
        <w:i w:val="0"/>
        <w:caps/>
        <w:strike w:val="0"/>
        <w:dstrike w:val="0"/>
        <w:vanish w:val="0"/>
        <w:color w:val="000000"/>
        <w:sz w:val="21"/>
        <w:szCs w:val="22"/>
        <w:vertAlign w:val="baseline"/>
      </w:rPr>
    </w:lvl>
    <w:lvl w:ilvl="1">
      <w:start w:val="1"/>
      <w:numFmt w:val="decimal"/>
      <w:pStyle w:val="AgreementHeading2"/>
      <w:lvlText w:val="%1.%2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sz w:val="21"/>
        <w:szCs w:val="22"/>
      </w:rPr>
    </w:lvl>
    <w:lvl w:ilvl="2">
      <w:start w:val="1"/>
      <w:numFmt w:val="decimal"/>
      <w:pStyle w:val="AgreementHeading3"/>
      <w:lvlText w:val="%1.%2.%3"/>
      <w:lvlJc w:val="left"/>
      <w:pPr>
        <w:tabs>
          <w:tab w:val="num" w:pos="1474"/>
        </w:tabs>
        <w:ind w:left="1474" w:hanging="754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000000"/>
        <w:sz w:val="21"/>
        <w:szCs w:val="22"/>
        <w:vertAlign w:val="baseline"/>
      </w:rPr>
    </w:lvl>
    <w:lvl w:ilvl="3">
      <w:start w:val="1"/>
      <w:numFmt w:val="lowerLetter"/>
      <w:pStyle w:val="AgreementHeading4"/>
      <w:lvlText w:val="(%4)"/>
      <w:lvlJc w:val="left"/>
      <w:pPr>
        <w:tabs>
          <w:tab w:val="num" w:pos="2041"/>
        </w:tabs>
        <w:ind w:left="2041" w:hanging="567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000000"/>
        <w:sz w:val="21"/>
        <w:szCs w:val="22"/>
        <w:vertAlign w:val="baseline"/>
      </w:rPr>
    </w:lvl>
    <w:lvl w:ilvl="4">
      <w:start w:val="1"/>
      <w:numFmt w:val="lowerRoman"/>
      <w:pStyle w:val="AgreementHeading5"/>
      <w:lvlText w:val="(%5)"/>
      <w:lvlJc w:val="left"/>
      <w:pPr>
        <w:tabs>
          <w:tab w:val="num" w:pos="2608"/>
        </w:tabs>
        <w:ind w:left="2608" w:hanging="567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000000"/>
        <w:sz w:val="21"/>
        <w:szCs w:val="22"/>
        <w:vertAlign w:val="baseline"/>
      </w:rPr>
    </w:lvl>
    <w:lvl w:ilvl="5">
      <w:start w:val="1"/>
      <w:numFmt w:val="decimal"/>
      <w:lvlText w:val="%1.%2.%3.%4.%5.%6"/>
      <w:lvlJc w:val="left"/>
      <w:pPr>
        <w:tabs>
          <w:tab w:val="num" w:pos="3629"/>
        </w:tabs>
        <w:ind w:left="3629" w:hanging="362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9"/>
        </w:tabs>
        <w:ind w:left="3969" w:hanging="396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744" w:hanging="374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4320"/>
      </w:pPr>
      <w:rPr>
        <w:rFonts w:hint="default"/>
      </w:rPr>
    </w:lvl>
  </w:abstractNum>
  <w:abstractNum w:abstractNumId="4" w15:restartNumberingAfterBreak="0">
    <w:nsid w:val="40E565FB"/>
    <w:multiLevelType w:val="hybridMultilevel"/>
    <w:tmpl w:val="4D7CF8E6"/>
    <w:lvl w:ilvl="0" w:tplc="B918409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1F0F55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6" w15:restartNumberingAfterBreak="0">
    <w:nsid w:val="5C5730A6"/>
    <w:multiLevelType w:val="multilevel"/>
    <w:tmpl w:val="1B6A0F2A"/>
    <w:lvl w:ilvl="0">
      <w:start w:val="1"/>
      <w:numFmt w:val="bullet"/>
      <w:pStyle w:val="DPBullet"/>
      <w:lvlText w:val="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pStyle w:val="DPBullet1"/>
      <w:lvlText w:val="−"/>
      <w:lvlJc w:val="left"/>
      <w:pPr>
        <w:ind w:left="680" w:hanging="340"/>
      </w:pPr>
      <w:rPr>
        <w:rFonts w:ascii="Times New Roman" w:hAnsi="Times New Roman" w:cs="Times New Roman" w:hint="default"/>
      </w:rPr>
    </w:lvl>
    <w:lvl w:ilvl="2">
      <w:start w:val="1"/>
      <w:numFmt w:val="bullet"/>
      <w:pStyle w:val="DPBullet2"/>
      <w:lvlText w:val="−"/>
      <w:lvlJc w:val="left"/>
      <w:pPr>
        <w:ind w:left="1021" w:hanging="341"/>
      </w:pPr>
      <w:rPr>
        <w:rFonts w:ascii="Times New Roman" w:hAnsi="Times New Roman" w:cs="Times New Roman" w:hint="default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32A1ADF"/>
    <w:multiLevelType w:val="hybridMultilevel"/>
    <w:tmpl w:val="4A561FE0"/>
    <w:lvl w:ilvl="0" w:tplc="6BF2AF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76D96"/>
    <w:multiLevelType w:val="hybridMultilevel"/>
    <w:tmpl w:val="B7724600"/>
    <w:lvl w:ilvl="0" w:tplc="0F82336A">
      <w:start w:val="1"/>
      <w:numFmt w:val="upperLetter"/>
      <w:pStyle w:val="AgreementRecitals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3"/>
  </w:num>
  <w:num w:numId="5">
    <w:abstractNumId w:val="2"/>
  </w:num>
  <w:num w:numId="6">
    <w:abstractNumId w:val="6"/>
  </w:num>
  <w:num w:numId="7">
    <w:abstractNumId w:val="7"/>
  </w:num>
  <w:num w:numId="8">
    <w:abstractNumId w:val="4"/>
  </w:num>
  <w:num w:numId="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3C5"/>
    <w:rsid w:val="00001C5A"/>
    <w:rsid w:val="000033DF"/>
    <w:rsid w:val="00065DA6"/>
    <w:rsid w:val="00086E49"/>
    <w:rsid w:val="00087612"/>
    <w:rsid w:val="000921F0"/>
    <w:rsid w:val="00092307"/>
    <w:rsid w:val="000B09D3"/>
    <w:rsid w:val="000C398A"/>
    <w:rsid w:val="000C4532"/>
    <w:rsid w:val="000C7620"/>
    <w:rsid w:val="000D3C8B"/>
    <w:rsid w:val="000F0420"/>
    <w:rsid w:val="00104015"/>
    <w:rsid w:val="0011181C"/>
    <w:rsid w:val="0011226B"/>
    <w:rsid w:val="001258A8"/>
    <w:rsid w:val="00127C4A"/>
    <w:rsid w:val="00141375"/>
    <w:rsid w:val="00145356"/>
    <w:rsid w:val="0016531A"/>
    <w:rsid w:val="00167198"/>
    <w:rsid w:val="001835B2"/>
    <w:rsid w:val="00183674"/>
    <w:rsid w:val="001934CC"/>
    <w:rsid w:val="001A713B"/>
    <w:rsid w:val="001A72DC"/>
    <w:rsid w:val="001B1AA8"/>
    <w:rsid w:val="001C5080"/>
    <w:rsid w:val="001D3A90"/>
    <w:rsid w:val="001E7A6F"/>
    <w:rsid w:val="001F119D"/>
    <w:rsid w:val="0020085B"/>
    <w:rsid w:val="00222353"/>
    <w:rsid w:val="002331CA"/>
    <w:rsid w:val="00247BAC"/>
    <w:rsid w:val="002756AD"/>
    <w:rsid w:val="00276632"/>
    <w:rsid w:val="00280030"/>
    <w:rsid w:val="00284601"/>
    <w:rsid w:val="002A4C95"/>
    <w:rsid w:val="002A5779"/>
    <w:rsid w:val="002A5C92"/>
    <w:rsid w:val="002E09E9"/>
    <w:rsid w:val="002F54CA"/>
    <w:rsid w:val="003021B6"/>
    <w:rsid w:val="003217E3"/>
    <w:rsid w:val="0032563F"/>
    <w:rsid w:val="003267D1"/>
    <w:rsid w:val="00340FF0"/>
    <w:rsid w:val="003441B9"/>
    <w:rsid w:val="00346B26"/>
    <w:rsid w:val="003518FD"/>
    <w:rsid w:val="00355F21"/>
    <w:rsid w:val="003666A0"/>
    <w:rsid w:val="00367985"/>
    <w:rsid w:val="00372D4C"/>
    <w:rsid w:val="00380748"/>
    <w:rsid w:val="0039013D"/>
    <w:rsid w:val="00395D89"/>
    <w:rsid w:val="00396E5A"/>
    <w:rsid w:val="003978ED"/>
    <w:rsid w:val="003B0263"/>
    <w:rsid w:val="003C284E"/>
    <w:rsid w:val="003C338F"/>
    <w:rsid w:val="003C69AB"/>
    <w:rsid w:val="00404D9A"/>
    <w:rsid w:val="004131ED"/>
    <w:rsid w:val="00415AEE"/>
    <w:rsid w:val="00415DDB"/>
    <w:rsid w:val="00424A47"/>
    <w:rsid w:val="004356E2"/>
    <w:rsid w:val="00437BFE"/>
    <w:rsid w:val="004408B0"/>
    <w:rsid w:val="00440CF8"/>
    <w:rsid w:val="004433C5"/>
    <w:rsid w:val="00470254"/>
    <w:rsid w:val="0047439B"/>
    <w:rsid w:val="00484F6D"/>
    <w:rsid w:val="00492065"/>
    <w:rsid w:val="004B3FED"/>
    <w:rsid w:val="004D1D7E"/>
    <w:rsid w:val="004F1265"/>
    <w:rsid w:val="004F57B8"/>
    <w:rsid w:val="00535342"/>
    <w:rsid w:val="00540D53"/>
    <w:rsid w:val="00557280"/>
    <w:rsid w:val="00557A0F"/>
    <w:rsid w:val="005649F9"/>
    <w:rsid w:val="00565029"/>
    <w:rsid w:val="00573EFA"/>
    <w:rsid w:val="005764A7"/>
    <w:rsid w:val="00577785"/>
    <w:rsid w:val="00581DAF"/>
    <w:rsid w:val="00593E77"/>
    <w:rsid w:val="0059441E"/>
    <w:rsid w:val="005D6C09"/>
    <w:rsid w:val="005D783E"/>
    <w:rsid w:val="005D79E3"/>
    <w:rsid w:val="005E270C"/>
    <w:rsid w:val="005E7C6B"/>
    <w:rsid w:val="00603657"/>
    <w:rsid w:val="00617533"/>
    <w:rsid w:val="00623598"/>
    <w:rsid w:val="00631F24"/>
    <w:rsid w:val="00640EFC"/>
    <w:rsid w:val="006441B0"/>
    <w:rsid w:val="00657FC0"/>
    <w:rsid w:val="00674D11"/>
    <w:rsid w:val="00694350"/>
    <w:rsid w:val="006945CB"/>
    <w:rsid w:val="006B7ABD"/>
    <w:rsid w:val="006D0A86"/>
    <w:rsid w:val="006E7E8D"/>
    <w:rsid w:val="00703D03"/>
    <w:rsid w:val="00707113"/>
    <w:rsid w:val="007203F3"/>
    <w:rsid w:val="00740F50"/>
    <w:rsid w:val="00752792"/>
    <w:rsid w:val="00753FB5"/>
    <w:rsid w:val="00772427"/>
    <w:rsid w:val="00772DFE"/>
    <w:rsid w:val="00782731"/>
    <w:rsid w:val="00785E77"/>
    <w:rsid w:val="00786CA6"/>
    <w:rsid w:val="00790DFB"/>
    <w:rsid w:val="007A0387"/>
    <w:rsid w:val="007C4484"/>
    <w:rsid w:val="007D39E7"/>
    <w:rsid w:val="007E1590"/>
    <w:rsid w:val="008034E6"/>
    <w:rsid w:val="00807744"/>
    <w:rsid w:val="00825991"/>
    <w:rsid w:val="008432D1"/>
    <w:rsid w:val="00847988"/>
    <w:rsid w:val="008506FC"/>
    <w:rsid w:val="008609CB"/>
    <w:rsid w:val="00867725"/>
    <w:rsid w:val="00872A8B"/>
    <w:rsid w:val="00876BCD"/>
    <w:rsid w:val="00877CBB"/>
    <w:rsid w:val="00886023"/>
    <w:rsid w:val="008979BB"/>
    <w:rsid w:val="008A229B"/>
    <w:rsid w:val="008B0583"/>
    <w:rsid w:val="008F3322"/>
    <w:rsid w:val="00900A95"/>
    <w:rsid w:val="009069C9"/>
    <w:rsid w:val="009224B4"/>
    <w:rsid w:val="00933B42"/>
    <w:rsid w:val="0093601D"/>
    <w:rsid w:val="009542ED"/>
    <w:rsid w:val="009656AB"/>
    <w:rsid w:val="00976F27"/>
    <w:rsid w:val="00977889"/>
    <w:rsid w:val="0098305D"/>
    <w:rsid w:val="00993C5F"/>
    <w:rsid w:val="00994086"/>
    <w:rsid w:val="009B447C"/>
    <w:rsid w:val="009B5E68"/>
    <w:rsid w:val="009D62BA"/>
    <w:rsid w:val="009E51C4"/>
    <w:rsid w:val="009F52F0"/>
    <w:rsid w:val="00A07FE0"/>
    <w:rsid w:val="00A21078"/>
    <w:rsid w:val="00A34959"/>
    <w:rsid w:val="00A3654A"/>
    <w:rsid w:val="00A36F76"/>
    <w:rsid w:val="00A708AD"/>
    <w:rsid w:val="00A81F5B"/>
    <w:rsid w:val="00AA741E"/>
    <w:rsid w:val="00AD3470"/>
    <w:rsid w:val="00AD6AE4"/>
    <w:rsid w:val="00B021F0"/>
    <w:rsid w:val="00B05548"/>
    <w:rsid w:val="00B10912"/>
    <w:rsid w:val="00B37C12"/>
    <w:rsid w:val="00B40F88"/>
    <w:rsid w:val="00B46BCC"/>
    <w:rsid w:val="00B53B8D"/>
    <w:rsid w:val="00B64744"/>
    <w:rsid w:val="00B80DEB"/>
    <w:rsid w:val="00B903CC"/>
    <w:rsid w:val="00BA1EF1"/>
    <w:rsid w:val="00BA791F"/>
    <w:rsid w:val="00BC225C"/>
    <w:rsid w:val="00BC4C0D"/>
    <w:rsid w:val="00BD0697"/>
    <w:rsid w:val="00BE2B07"/>
    <w:rsid w:val="00BF3D3E"/>
    <w:rsid w:val="00C16DFA"/>
    <w:rsid w:val="00C2522B"/>
    <w:rsid w:val="00C378D4"/>
    <w:rsid w:val="00C62042"/>
    <w:rsid w:val="00C900E1"/>
    <w:rsid w:val="00C96534"/>
    <w:rsid w:val="00CA2E89"/>
    <w:rsid w:val="00CA53BB"/>
    <w:rsid w:val="00CB7636"/>
    <w:rsid w:val="00CC02EB"/>
    <w:rsid w:val="00CE09C4"/>
    <w:rsid w:val="00D03DC1"/>
    <w:rsid w:val="00D05F7C"/>
    <w:rsid w:val="00D10A38"/>
    <w:rsid w:val="00D2584B"/>
    <w:rsid w:val="00D31877"/>
    <w:rsid w:val="00D32C99"/>
    <w:rsid w:val="00D5309A"/>
    <w:rsid w:val="00D6291C"/>
    <w:rsid w:val="00D637FF"/>
    <w:rsid w:val="00D74A36"/>
    <w:rsid w:val="00D90E9D"/>
    <w:rsid w:val="00DE5F99"/>
    <w:rsid w:val="00E007BF"/>
    <w:rsid w:val="00E0090D"/>
    <w:rsid w:val="00E22801"/>
    <w:rsid w:val="00E2501C"/>
    <w:rsid w:val="00E26614"/>
    <w:rsid w:val="00E37A5D"/>
    <w:rsid w:val="00E53ABF"/>
    <w:rsid w:val="00E64EE0"/>
    <w:rsid w:val="00E71E7B"/>
    <w:rsid w:val="00EA5386"/>
    <w:rsid w:val="00EA585B"/>
    <w:rsid w:val="00EB6116"/>
    <w:rsid w:val="00EF5D02"/>
    <w:rsid w:val="00EF6269"/>
    <w:rsid w:val="00F07427"/>
    <w:rsid w:val="00F20AC6"/>
    <w:rsid w:val="00F36532"/>
    <w:rsid w:val="00F419E1"/>
    <w:rsid w:val="00F55F2D"/>
    <w:rsid w:val="00F76C1F"/>
    <w:rsid w:val="00F77372"/>
    <w:rsid w:val="00F90C01"/>
    <w:rsid w:val="00FA08CE"/>
    <w:rsid w:val="00FA16B1"/>
    <w:rsid w:val="00FA6321"/>
    <w:rsid w:val="00FB5C70"/>
    <w:rsid w:val="00FB7C3C"/>
    <w:rsid w:val="00FD0D6F"/>
    <w:rsid w:val="00FD1151"/>
    <w:rsid w:val="00FD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C33E90"/>
  <w15:docId w15:val="{236A4FBB-290B-4B2B-BAC7-040F139B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="Times New Roman" w:hAnsi="Georgia" w:cs="Times New Roman"/>
        <w:sz w:val="18"/>
        <w:szCs w:val="18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7E8D"/>
    <w:pPr>
      <w:spacing w:after="240"/>
      <w:jc w:val="both"/>
    </w:pPr>
    <w:rPr>
      <w:rFonts w:ascii="Calibri" w:hAnsi="Calibri"/>
      <w:sz w:val="21"/>
      <w:szCs w:val="20"/>
    </w:rPr>
  </w:style>
  <w:style w:type="paragraph" w:styleId="Heading1">
    <w:name w:val="heading 1"/>
    <w:basedOn w:val="Normal"/>
    <w:next w:val="Normal"/>
    <w:qFormat/>
    <w:rsid w:val="006E7E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E7E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E7E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6E7E8D"/>
    <w:pPr>
      <w:numPr>
        <w:numId w:val="1"/>
      </w:numPr>
    </w:pPr>
  </w:style>
  <w:style w:type="paragraph" w:customStyle="1" w:styleId="AgreementFooterGuernsey">
    <w:name w:val="Agreement Footer Guernsey"/>
    <w:basedOn w:val="Normal"/>
    <w:rsid w:val="006E7E8D"/>
    <w:pPr>
      <w:jc w:val="left"/>
    </w:pPr>
    <w:rPr>
      <w:sz w:val="20"/>
    </w:rPr>
  </w:style>
  <w:style w:type="paragraph" w:customStyle="1" w:styleId="AgreementFooterJersey">
    <w:name w:val="Agreement Footer Jersey"/>
    <w:basedOn w:val="Normal"/>
    <w:rsid w:val="006E7E8D"/>
    <w:pPr>
      <w:jc w:val="left"/>
    </w:pPr>
    <w:rPr>
      <w:sz w:val="12"/>
      <w:szCs w:val="12"/>
    </w:rPr>
  </w:style>
  <w:style w:type="paragraph" w:customStyle="1" w:styleId="AgreementHeading1">
    <w:name w:val="Agreement Heading 1"/>
    <w:basedOn w:val="Normal"/>
    <w:next w:val="BlockText"/>
    <w:rsid w:val="006E7E8D"/>
    <w:pPr>
      <w:keepNext/>
      <w:numPr>
        <w:numId w:val="4"/>
      </w:numPr>
    </w:pPr>
    <w:rPr>
      <w:rFonts w:hAnsi="Times New Roman Bold"/>
      <w:b/>
      <w:caps/>
    </w:rPr>
  </w:style>
  <w:style w:type="paragraph" w:styleId="BlockText">
    <w:name w:val="Block Text"/>
    <w:basedOn w:val="Normal"/>
    <w:rsid w:val="006E7E8D"/>
    <w:pPr>
      <w:tabs>
        <w:tab w:val="left" w:pos="720"/>
      </w:tabs>
      <w:ind w:left="720"/>
    </w:pPr>
  </w:style>
  <w:style w:type="paragraph" w:styleId="BodyText">
    <w:name w:val="Body Text"/>
    <w:basedOn w:val="Normal"/>
    <w:link w:val="BodyTextChar"/>
    <w:rsid w:val="006E7E8D"/>
  </w:style>
  <w:style w:type="character" w:customStyle="1" w:styleId="BodyTextChar">
    <w:name w:val="Body Text Char"/>
    <w:basedOn w:val="DefaultParagraphFont"/>
    <w:link w:val="BodyText"/>
    <w:rsid w:val="006E7E8D"/>
    <w:rPr>
      <w:rFonts w:ascii="Calibri" w:hAnsi="Calibri"/>
      <w:sz w:val="21"/>
      <w:szCs w:val="20"/>
    </w:rPr>
  </w:style>
  <w:style w:type="paragraph" w:customStyle="1" w:styleId="AgreementHeading2">
    <w:name w:val="Agreement Heading 2"/>
    <w:basedOn w:val="BodyText"/>
    <w:rsid w:val="006E7E8D"/>
    <w:pPr>
      <w:numPr>
        <w:ilvl w:val="1"/>
        <w:numId w:val="4"/>
      </w:numPr>
    </w:pPr>
  </w:style>
  <w:style w:type="paragraph" w:customStyle="1" w:styleId="AgreementHeading2bold">
    <w:name w:val="Agreement Heading 2 bold"/>
    <w:basedOn w:val="AgreementHeading2"/>
    <w:next w:val="BlockText"/>
    <w:rsid w:val="006E7E8D"/>
    <w:pPr>
      <w:keepNext/>
      <w:numPr>
        <w:ilvl w:val="0"/>
        <w:numId w:val="0"/>
      </w:numPr>
    </w:pPr>
    <w:rPr>
      <w:b/>
    </w:rPr>
  </w:style>
  <w:style w:type="paragraph" w:customStyle="1" w:styleId="AgreementHeading3">
    <w:name w:val="Agreement Heading 3"/>
    <w:basedOn w:val="Normal"/>
    <w:rsid w:val="006E7E8D"/>
    <w:pPr>
      <w:numPr>
        <w:ilvl w:val="2"/>
        <w:numId w:val="4"/>
      </w:numPr>
    </w:pPr>
  </w:style>
  <w:style w:type="paragraph" w:customStyle="1" w:styleId="AgreementHeading4">
    <w:name w:val="Agreement Heading 4"/>
    <w:basedOn w:val="Normal"/>
    <w:rsid w:val="006E7E8D"/>
    <w:pPr>
      <w:numPr>
        <w:ilvl w:val="3"/>
        <w:numId w:val="4"/>
      </w:numPr>
    </w:pPr>
  </w:style>
  <w:style w:type="paragraph" w:customStyle="1" w:styleId="AgreementHeading5">
    <w:name w:val="Agreement Heading 5"/>
    <w:basedOn w:val="Normal"/>
    <w:rsid w:val="006E7E8D"/>
    <w:pPr>
      <w:numPr>
        <w:ilvl w:val="4"/>
        <w:numId w:val="4"/>
      </w:numPr>
    </w:pPr>
  </w:style>
  <w:style w:type="paragraph" w:customStyle="1" w:styleId="AgreementParties">
    <w:name w:val="Agreement Parties"/>
    <w:basedOn w:val="Normal"/>
    <w:rsid w:val="006E7E8D"/>
    <w:pPr>
      <w:numPr>
        <w:numId w:val="2"/>
      </w:numPr>
    </w:pPr>
  </w:style>
  <w:style w:type="paragraph" w:customStyle="1" w:styleId="AgreementRecitals">
    <w:name w:val="Agreement Recitals"/>
    <w:basedOn w:val="Normal"/>
    <w:rsid w:val="006E7E8D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unhideWhenUsed/>
    <w:rsid w:val="006E7E8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E7E8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6E7E8D"/>
    <w:pPr>
      <w:tabs>
        <w:tab w:val="center" w:pos="4153"/>
        <w:tab w:val="right" w:pos="8306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6E7E8D"/>
    <w:rPr>
      <w:rFonts w:ascii="Calibri" w:hAnsi="Calibri"/>
      <w:sz w:val="16"/>
      <w:szCs w:val="20"/>
    </w:rPr>
  </w:style>
  <w:style w:type="paragraph" w:customStyle="1" w:styleId="frontcover">
    <w:name w:val="frontcover"/>
    <w:basedOn w:val="Normal"/>
    <w:rsid w:val="006E7E8D"/>
    <w:pPr>
      <w:jc w:val="center"/>
    </w:pPr>
    <w:rPr>
      <w:b/>
    </w:rPr>
  </w:style>
  <w:style w:type="paragraph" w:styleId="Header">
    <w:name w:val="header"/>
    <w:basedOn w:val="Normal"/>
    <w:link w:val="HeaderChar"/>
    <w:uiPriority w:val="99"/>
    <w:rsid w:val="006E7E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E8D"/>
    <w:rPr>
      <w:rFonts w:ascii="Calibri" w:hAnsi="Calibri"/>
      <w:sz w:val="21"/>
      <w:szCs w:val="20"/>
    </w:rPr>
  </w:style>
  <w:style w:type="character" w:styleId="Hyperlink">
    <w:name w:val="Hyperlink"/>
    <w:uiPriority w:val="99"/>
    <w:rsid w:val="006E7E8D"/>
    <w:rPr>
      <w:color w:val="0000FF"/>
      <w:u w:val="single"/>
    </w:rPr>
  </w:style>
  <w:style w:type="paragraph" w:customStyle="1" w:styleId="Level1noheading">
    <w:name w:val="Level 1 no heading"/>
    <w:basedOn w:val="AgreementHeading1"/>
    <w:rsid w:val="006E7E8D"/>
    <w:pPr>
      <w:numPr>
        <w:numId w:val="0"/>
      </w:numPr>
    </w:pPr>
    <w:rPr>
      <w:rFonts w:hAnsi="Times New Roman"/>
      <w:b w:val="0"/>
      <w:caps w:val="0"/>
    </w:rPr>
  </w:style>
  <w:style w:type="character" w:styleId="PageNumber">
    <w:name w:val="page number"/>
    <w:basedOn w:val="DefaultParagraphFont"/>
    <w:rsid w:val="006E7E8D"/>
  </w:style>
  <w:style w:type="paragraph" w:customStyle="1" w:styleId="ScheduleClauses">
    <w:name w:val="Schedule Clauses"/>
    <w:basedOn w:val="AgreementHeading1"/>
    <w:rsid w:val="006E7E8D"/>
    <w:pPr>
      <w:numPr>
        <w:numId w:val="5"/>
      </w:numPr>
    </w:pPr>
    <w:rPr>
      <w:rFonts w:hAnsi="Times New Roman"/>
      <w:b w:val="0"/>
      <w:caps w:val="0"/>
    </w:rPr>
  </w:style>
  <w:style w:type="paragraph" w:customStyle="1" w:styleId="ScheduleNumber">
    <w:name w:val="Schedule Number"/>
    <w:basedOn w:val="AgreementHeading1"/>
    <w:next w:val="Normal"/>
    <w:rsid w:val="006E7E8D"/>
    <w:pPr>
      <w:keepNext w:val="0"/>
      <w:keepLines/>
      <w:widowControl w:val="0"/>
      <w:numPr>
        <w:numId w:val="0"/>
      </w:numPr>
      <w:jc w:val="center"/>
    </w:pPr>
    <w:rPr>
      <w:rFonts w:hAnsi="Calibri"/>
    </w:rPr>
  </w:style>
  <w:style w:type="paragraph" w:customStyle="1" w:styleId="ScheduleTitle">
    <w:name w:val="Schedule Title"/>
    <w:basedOn w:val="ScheduleNumber"/>
    <w:next w:val="Normal"/>
    <w:rsid w:val="006E7E8D"/>
    <w:rPr>
      <w:b w:val="0"/>
      <w:caps w:val="0"/>
    </w:rPr>
  </w:style>
  <w:style w:type="table" w:styleId="TableGrid">
    <w:name w:val="Table Grid"/>
    <w:basedOn w:val="TableNormal"/>
    <w:rsid w:val="006E7E8D"/>
    <w:pPr>
      <w:spacing w:after="240" w:line="312" w:lineRule="auto"/>
      <w:jc w:val="both"/>
    </w:pPr>
    <w:rPr>
      <w:rFonts w:ascii="Calibri" w:hAnsi="Calibri"/>
      <w:sz w:val="21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6E7E8D"/>
    <w:pPr>
      <w:spacing w:before="120" w:after="360"/>
      <w:jc w:val="center"/>
    </w:pPr>
    <w:rPr>
      <w:rFonts w:hAnsi="Times New Roman Bold" w:cs="Arial"/>
      <w:b/>
      <w:bCs/>
      <w:caps/>
      <w:kern w:val="28"/>
    </w:rPr>
  </w:style>
  <w:style w:type="character" w:customStyle="1" w:styleId="TitleChar">
    <w:name w:val="Title Char"/>
    <w:basedOn w:val="DefaultParagraphFont"/>
    <w:link w:val="Title"/>
    <w:rsid w:val="006E7E8D"/>
    <w:rPr>
      <w:rFonts w:ascii="Calibri" w:hAnsi="Times New Roman Bold" w:cs="Arial"/>
      <w:b/>
      <w:bCs/>
      <w:caps/>
      <w:kern w:val="28"/>
      <w:sz w:val="21"/>
      <w:szCs w:val="20"/>
    </w:rPr>
  </w:style>
  <w:style w:type="paragraph" w:styleId="TOC1">
    <w:name w:val="toc 1"/>
    <w:basedOn w:val="Normal"/>
    <w:next w:val="Normal"/>
    <w:autoRedefine/>
    <w:rsid w:val="006E7E8D"/>
    <w:pPr>
      <w:tabs>
        <w:tab w:val="right" w:pos="9015"/>
      </w:tabs>
    </w:pPr>
    <w:rPr>
      <w:caps/>
    </w:rPr>
  </w:style>
  <w:style w:type="paragraph" w:styleId="TOC2">
    <w:name w:val="toc 2"/>
    <w:basedOn w:val="Normal"/>
    <w:next w:val="Normal"/>
    <w:rsid w:val="006E7E8D"/>
    <w:pPr>
      <w:tabs>
        <w:tab w:val="right" w:pos="9015"/>
      </w:tabs>
      <w:ind w:left="703"/>
    </w:pPr>
  </w:style>
  <w:style w:type="paragraph" w:styleId="TOC3">
    <w:name w:val="toc 3"/>
    <w:basedOn w:val="Normal"/>
    <w:next w:val="Normal"/>
    <w:autoRedefine/>
    <w:rsid w:val="006E7E8D"/>
    <w:pPr>
      <w:ind w:left="440"/>
    </w:pPr>
  </w:style>
  <w:style w:type="paragraph" w:styleId="TOC4">
    <w:name w:val="toc 4"/>
    <w:basedOn w:val="Normal"/>
    <w:next w:val="Normal"/>
    <w:autoRedefine/>
    <w:rsid w:val="006E7E8D"/>
    <w:pPr>
      <w:ind w:left="660"/>
    </w:pPr>
  </w:style>
  <w:style w:type="paragraph" w:styleId="TOC5">
    <w:name w:val="toc 5"/>
    <w:basedOn w:val="Normal"/>
    <w:next w:val="Normal"/>
    <w:autoRedefine/>
    <w:rsid w:val="006E7E8D"/>
    <w:pPr>
      <w:ind w:left="880"/>
    </w:pPr>
  </w:style>
  <w:style w:type="paragraph" w:styleId="TOC6">
    <w:name w:val="toc 6"/>
    <w:basedOn w:val="Normal"/>
    <w:next w:val="Normal"/>
    <w:autoRedefine/>
    <w:rsid w:val="006E7E8D"/>
    <w:pPr>
      <w:ind w:left="1100"/>
    </w:pPr>
  </w:style>
  <w:style w:type="paragraph" w:styleId="TOC7">
    <w:name w:val="toc 7"/>
    <w:basedOn w:val="Normal"/>
    <w:next w:val="Normal"/>
    <w:autoRedefine/>
    <w:rsid w:val="006E7E8D"/>
    <w:pPr>
      <w:ind w:left="1320"/>
    </w:pPr>
  </w:style>
  <w:style w:type="paragraph" w:styleId="TOC8">
    <w:name w:val="toc 8"/>
    <w:basedOn w:val="Normal"/>
    <w:next w:val="Normal"/>
    <w:autoRedefine/>
    <w:rsid w:val="006E7E8D"/>
    <w:pPr>
      <w:ind w:left="1540"/>
    </w:pPr>
  </w:style>
  <w:style w:type="paragraph" w:styleId="TOC9">
    <w:name w:val="toc 9"/>
    <w:basedOn w:val="Normal"/>
    <w:next w:val="Normal"/>
    <w:autoRedefine/>
    <w:rsid w:val="006E7E8D"/>
    <w:pPr>
      <w:ind w:left="1760"/>
    </w:pPr>
  </w:style>
  <w:style w:type="paragraph" w:customStyle="1" w:styleId="TOC10">
    <w:name w:val="TOC1"/>
    <w:basedOn w:val="TOC1"/>
    <w:rsid w:val="006E7E8D"/>
    <w:pPr>
      <w:tabs>
        <w:tab w:val="left" w:pos="720"/>
      </w:tabs>
    </w:pPr>
    <w:rPr>
      <w:caps w:val="0"/>
    </w:rPr>
  </w:style>
  <w:style w:type="paragraph" w:customStyle="1" w:styleId="Default">
    <w:name w:val="Default"/>
    <w:rsid w:val="000C453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FootnoteText">
    <w:name w:val="footnote text"/>
    <w:aliases w:val="Carattere,Carattere Carattere Carattere Carattere,Testo nota a piè di pagina Carattere Carattere,Testo nota a piè di pagina Carattere Carattere Carattere Carattere,Testo nota a piè di pagina Carattere1 Carattere Carattere"/>
    <w:basedOn w:val="Normal"/>
    <w:link w:val="FootnoteTextChar"/>
    <w:uiPriority w:val="99"/>
    <w:qFormat/>
    <w:rsid w:val="00740F50"/>
    <w:pPr>
      <w:spacing w:after="0"/>
    </w:pPr>
    <w:rPr>
      <w:sz w:val="20"/>
    </w:rPr>
  </w:style>
  <w:style w:type="character" w:customStyle="1" w:styleId="FootnoteTextChar">
    <w:name w:val="Footnote Text Char"/>
    <w:aliases w:val="Carattere Char,Carattere Carattere Carattere Carattere Char,Testo nota a piè di pagina Carattere Carattere Char,Testo nota a piè di pagina Carattere Carattere Carattere Carattere Char"/>
    <w:basedOn w:val="DefaultParagraphFont"/>
    <w:link w:val="FootnoteText"/>
    <w:uiPriority w:val="99"/>
    <w:rsid w:val="00740F50"/>
    <w:rPr>
      <w:rFonts w:ascii="Calibri" w:hAnsi="Calibri"/>
      <w:sz w:val="20"/>
      <w:szCs w:val="20"/>
    </w:rPr>
  </w:style>
  <w:style w:type="character" w:styleId="FootnoteReference">
    <w:name w:val="footnote reference"/>
    <w:aliases w:val="Footnote Refernece,BVI fnr,callout,16 Point,Superscript 6 Point,Footnote Reference Superscript,Ref,de nota al pie,-E Fußnotenzeichen,number,SUPERS,EN Footnote Reference,-E Fuﬂnotenzeichen,-E Fuûnotenzeichen,Footnote number,F"/>
    <w:basedOn w:val="DefaultParagraphFont"/>
    <w:uiPriority w:val="99"/>
    <w:qFormat/>
    <w:rsid w:val="00740F50"/>
    <w:rPr>
      <w:vertAlign w:val="superscript"/>
    </w:rPr>
  </w:style>
  <w:style w:type="paragraph" w:styleId="ListParagraph">
    <w:name w:val="List Paragraph"/>
    <w:basedOn w:val="Normal"/>
    <w:uiPriority w:val="34"/>
    <w:qFormat/>
    <w:rsid w:val="005D783E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2C99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BD0697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hu-HU" w:eastAsia="hu-HU"/>
    </w:rPr>
  </w:style>
  <w:style w:type="character" w:styleId="Strong">
    <w:name w:val="Strong"/>
    <w:basedOn w:val="DefaultParagraphFont"/>
    <w:uiPriority w:val="22"/>
    <w:qFormat/>
    <w:rsid w:val="00B05548"/>
    <w:rPr>
      <w:b/>
      <w:bCs/>
    </w:rPr>
  </w:style>
  <w:style w:type="character" w:customStyle="1" w:styleId="tlid-translation">
    <w:name w:val="tlid-translation"/>
    <w:basedOn w:val="DefaultParagraphFont"/>
    <w:rsid w:val="00631F24"/>
  </w:style>
  <w:style w:type="paragraph" w:styleId="NoSpacing">
    <w:name w:val="No Spacing"/>
    <w:uiPriority w:val="1"/>
    <w:qFormat/>
    <w:rsid w:val="00631F24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st">
    <w:name w:val="st"/>
    <w:basedOn w:val="DefaultParagraphFont"/>
    <w:rsid w:val="00631F24"/>
  </w:style>
  <w:style w:type="character" w:customStyle="1" w:styleId="gt-baf-cell">
    <w:name w:val="gt-baf-cell"/>
    <w:basedOn w:val="DefaultParagraphFont"/>
    <w:rsid w:val="00782731"/>
  </w:style>
  <w:style w:type="character" w:styleId="UnresolvedMention">
    <w:name w:val="Unresolved Mention"/>
    <w:basedOn w:val="DefaultParagraphFont"/>
    <w:uiPriority w:val="99"/>
    <w:semiHidden/>
    <w:unhideWhenUsed/>
    <w:rsid w:val="00492065"/>
    <w:rPr>
      <w:color w:val="605E5C"/>
      <w:shd w:val="clear" w:color="auto" w:fill="E1DFDD"/>
    </w:rPr>
  </w:style>
  <w:style w:type="character" w:customStyle="1" w:styleId="text">
    <w:name w:val="text"/>
    <w:basedOn w:val="DefaultParagraphFont"/>
    <w:rsid w:val="00492065"/>
  </w:style>
  <w:style w:type="character" w:styleId="Emphasis">
    <w:name w:val="Emphasis"/>
    <w:basedOn w:val="DefaultParagraphFont"/>
    <w:uiPriority w:val="20"/>
    <w:qFormat/>
    <w:rsid w:val="00492065"/>
    <w:rPr>
      <w:i/>
      <w:iCs/>
    </w:rPr>
  </w:style>
  <w:style w:type="paragraph" w:customStyle="1" w:styleId="DPBullet">
    <w:name w:val="DPBullet"/>
    <w:basedOn w:val="Normal"/>
    <w:uiPriority w:val="6"/>
    <w:qFormat/>
    <w:rsid w:val="008609CB"/>
    <w:pPr>
      <w:numPr>
        <w:numId w:val="6"/>
      </w:numPr>
      <w:spacing w:after="120" w:line="264" w:lineRule="auto"/>
      <w:contextualSpacing/>
      <w:jc w:val="left"/>
    </w:pPr>
    <w:rPr>
      <w:rFonts w:ascii="Garamond" w:eastAsiaTheme="minorHAnsi" w:hAnsi="Garamond"/>
      <w:lang w:eastAsia="en-US"/>
    </w:rPr>
  </w:style>
  <w:style w:type="paragraph" w:customStyle="1" w:styleId="DPBullet1">
    <w:name w:val="DPBullet1"/>
    <w:basedOn w:val="Normal"/>
    <w:uiPriority w:val="6"/>
    <w:rsid w:val="008609CB"/>
    <w:pPr>
      <w:numPr>
        <w:ilvl w:val="1"/>
        <w:numId w:val="6"/>
      </w:numPr>
      <w:spacing w:after="120" w:line="264" w:lineRule="auto"/>
      <w:contextualSpacing/>
      <w:jc w:val="left"/>
    </w:pPr>
    <w:rPr>
      <w:rFonts w:ascii="Garamond" w:eastAsiaTheme="minorHAnsi" w:hAnsi="Garamond"/>
      <w:lang w:eastAsia="en-US"/>
    </w:rPr>
  </w:style>
  <w:style w:type="paragraph" w:customStyle="1" w:styleId="DPBullet2">
    <w:name w:val="DPBullet2"/>
    <w:basedOn w:val="Normal"/>
    <w:uiPriority w:val="6"/>
    <w:rsid w:val="008609CB"/>
    <w:pPr>
      <w:numPr>
        <w:ilvl w:val="2"/>
        <w:numId w:val="6"/>
      </w:numPr>
      <w:spacing w:after="120" w:line="264" w:lineRule="auto"/>
      <w:contextualSpacing/>
      <w:jc w:val="left"/>
    </w:pPr>
    <w:rPr>
      <w:rFonts w:ascii="Garamond" w:eastAsiaTheme="minorHAnsi" w:hAnsi="Garamond"/>
      <w:lang w:eastAsia="en-US"/>
    </w:rPr>
  </w:style>
  <w:style w:type="paragraph" w:customStyle="1" w:styleId="DPHead2">
    <w:name w:val="DPHead2"/>
    <w:basedOn w:val="Normal"/>
    <w:next w:val="DPBodytxt"/>
    <w:uiPriority w:val="2"/>
    <w:qFormat/>
    <w:rsid w:val="008609CB"/>
    <w:pPr>
      <w:spacing w:after="60"/>
      <w:jc w:val="left"/>
      <w:outlineLvl w:val="2"/>
    </w:pPr>
    <w:rPr>
      <w:rFonts w:ascii="Arial" w:eastAsiaTheme="minorHAnsi" w:hAnsi="Arial" w:cs="Arial"/>
      <w:color w:val="4BACC6" w:themeColor="accent5"/>
      <w:sz w:val="24"/>
      <w:szCs w:val="24"/>
      <w:lang w:eastAsia="en-US"/>
    </w:rPr>
  </w:style>
  <w:style w:type="paragraph" w:customStyle="1" w:styleId="DPOpeningPara">
    <w:name w:val="DPOpeningPara"/>
    <w:basedOn w:val="Normal"/>
    <w:next w:val="DPBodytxt"/>
    <w:uiPriority w:val="5"/>
    <w:qFormat/>
    <w:rsid w:val="008609CB"/>
    <w:pPr>
      <w:spacing w:after="120" w:line="264" w:lineRule="auto"/>
      <w:jc w:val="left"/>
    </w:pPr>
    <w:rPr>
      <w:rFonts w:ascii="Garamond" w:eastAsiaTheme="minorHAnsi" w:hAnsi="Garamond" w:cs="Arial"/>
      <w:sz w:val="30"/>
      <w:lang w:eastAsia="en-US"/>
    </w:rPr>
  </w:style>
  <w:style w:type="paragraph" w:customStyle="1" w:styleId="DPBodytxt">
    <w:name w:val="DPBodytxt"/>
    <w:basedOn w:val="Normal"/>
    <w:uiPriority w:val="6"/>
    <w:qFormat/>
    <w:rsid w:val="008609CB"/>
    <w:pPr>
      <w:spacing w:after="120" w:line="264" w:lineRule="auto"/>
      <w:jc w:val="left"/>
    </w:pPr>
    <w:rPr>
      <w:rFonts w:ascii="Arial" w:eastAsiaTheme="minorHAnsi" w:hAnsi="Arial"/>
      <w:lang w:eastAsia="en-US"/>
    </w:rPr>
  </w:style>
  <w:style w:type="paragraph" w:customStyle="1" w:styleId="Bullet">
    <w:name w:val="Bullet"/>
    <w:basedOn w:val="DPBullet"/>
    <w:rsid w:val="008609CB"/>
    <w:pPr>
      <w:jc w:val="both"/>
    </w:pPr>
    <w:rPr>
      <w:rFonts w:ascii="Arial" w:hAnsi="Arial"/>
    </w:rPr>
  </w:style>
  <w:style w:type="character" w:customStyle="1" w:styleId="jlqj4b">
    <w:name w:val="jlqj4b"/>
    <w:basedOn w:val="DefaultParagraphFont"/>
    <w:rsid w:val="00D90E9D"/>
  </w:style>
  <w:style w:type="character" w:customStyle="1" w:styleId="hps">
    <w:name w:val="hps"/>
    <w:basedOn w:val="DefaultParagraphFont"/>
    <w:rsid w:val="00D90E9D"/>
  </w:style>
  <w:style w:type="character" w:customStyle="1" w:styleId="hgkelc">
    <w:name w:val="hgkelc"/>
    <w:basedOn w:val="DefaultParagraphFont"/>
    <w:rsid w:val="00D90E9D"/>
  </w:style>
  <w:style w:type="character" w:customStyle="1" w:styleId="Nmerodepgina1">
    <w:name w:val="Número de página1"/>
    <w:rsid w:val="00D90E9D"/>
    <w:rPr>
      <w:lang w:val="en-US"/>
    </w:rPr>
  </w:style>
  <w:style w:type="character" w:customStyle="1" w:styleId="FootnoteTextChar1">
    <w:name w:val="Footnote Text Char1"/>
    <w:uiPriority w:val="99"/>
    <w:rsid w:val="009224B4"/>
    <w:rPr>
      <w:rFonts w:ascii="Times New Roman" w:hAnsi="Times New Roman"/>
      <w:sz w:val="16"/>
    </w:rPr>
  </w:style>
  <w:style w:type="character" w:styleId="FollowedHyperlink">
    <w:name w:val="FollowedHyperlink"/>
    <w:basedOn w:val="DefaultParagraphFont"/>
    <w:semiHidden/>
    <w:unhideWhenUsed/>
    <w:rsid w:val="002F54CA"/>
    <w:rPr>
      <w:color w:val="800080" w:themeColor="followedHyperlink"/>
      <w:u w:val="single"/>
    </w:rPr>
  </w:style>
  <w:style w:type="character" w:styleId="SubtleEmphasis">
    <w:name w:val="Subtle Emphasis"/>
    <w:basedOn w:val="DefaultParagraphFont"/>
    <w:uiPriority w:val="19"/>
    <w:qFormat/>
    <w:rsid w:val="0016531A"/>
    <w:rPr>
      <w:rFonts w:ascii="Arial" w:hAnsi="Arial"/>
      <w:b/>
      <w:i/>
      <w:iCs/>
      <w:color w:val="auto"/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83674"/>
    <w:pPr>
      <w:spacing w:after="0"/>
      <w:jc w:val="left"/>
    </w:pPr>
    <w:rPr>
      <w:rFonts w:asciiTheme="minorHAnsi" w:eastAsiaTheme="minorHAnsi" w:hAnsiTheme="minorHAnsi" w:cstheme="minorBidi"/>
      <w:sz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83674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183674"/>
    <w:rPr>
      <w:vertAlign w:val="superscript"/>
    </w:rPr>
  </w:style>
  <w:style w:type="paragraph" w:customStyle="1" w:styleId="DSHeadingUnnumbered1">
    <w:name w:val="DS_Heading_Unnumbered_1"/>
    <w:basedOn w:val="Heading1"/>
    <w:next w:val="Normal"/>
    <w:qFormat/>
    <w:rsid w:val="00D10A38"/>
    <w:pPr>
      <w:keepNext w:val="0"/>
      <w:spacing w:before="0" w:after="0" w:line="280" w:lineRule="atLeast"/>
      <w:jc w:val="left"/>
    </w:pPr>
    <w:rPr>
      <w:rFonts w:asciiTheme="majorHAnsi" w:eastAsiaTheme="majorEastAsia" w:hAnsiTheme="majorHAnsi" w:cstheme="majorBidi"/>
      <w:bCs w:val="0"/>
      <w:color w:val="000000" w:themeColor="text1"/>
      <w:kern w:val="0"/>
      <w:sz w:val="20"/>
      <w:lang w:val="nl-NL" w:eastAsia="en-US"/>
    </w:rPr>
  </w:style>
  <w:style w:type="character" w:customStyle="1" w:styleId="Heading2Char">
    <w:name w:val="Heading 2 Char"/>
    <w:basedOn w:val="DefaultParagraphFont"/>
    <w:link w:val="Heading2"/>
    <w:rsid w:val="00FA6321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3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7610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6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90992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lawtechuk.io/our-reports/" TargetMode="External"/><Relationship Id="rId3" Type="http://schemas.openxmlformats.org/officeDocument/2006/relationships/hyperlink" Target="https://bankruptcyroundtable.law.harvard.edu/2023/02/28/crypto-bankruptcy-series-ftx-bankruptcy-a-failure-of-centralized-governance-in-the-name-of-decentralized-cryptocurrencies/" TargetMode="External"/><Relationship Id="rId7" Type="http://schemas.openxmlformats.org/officeDocument/2006/relationships/hyperlink" Target="https://www.unidroit.org/work-in-progress/digital-assets-and-private-law/" TargetMode="External"/><Relationship Id="rId2" Type="http://schemas.openxmlformats.org/officeDocument/2006/relationships/hyperlink" Target="https://dx.doi.org/10.2139/ssrn.4769396" TargetMode="External"/><Relationship Id="rId1" Type="http://schemas.openxmlformats.org/officeDocument/2006/relationships/hyperlink" Target="https://ssrn.com/abstract=4769396" TargetMode="External"/><Relationship Id="rId6" Type="http://schemas.openxmlformats.org/officeDocument/2006/relationships/hyperlink" Target="https://www.osborneclarke.com/insights/singapores-regulators-set-pace-blockchain-and-fintech-ecosystem-advances" TargetMode="External"/><Relationship Id="rId5" Type="http://schemas.openxmlformats.org/officeDocument/2006/relationships/hyperlink" Target="https://www.fca.org.uk/firms/cryptoassets-information" TargetMode="External"/><Relationship Id="rId10" Type="http://schemas.openxmlformats.org/officeDocument/2006/relationships/hyperlink" Target="https://dx.doi.org/10.2139/ssrn.4704029" TargetMode="External"/><Relationship Id="rId4" Type="http://schemas.openxmlformats.org/officeDocument/2006/relationships/hyperlink" Target="https://ethereum.org/en/developers/docs/consensus-mechanisms/pos/" TargetMode="External"/><Relationship Id="rId9" Type="http://schemas.openxmlformats.org/officeDocument/2006/relationships/hyperlink" Target="https://ssrn.com/abstract=4704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058C5-F18C-4648-9382-4F38F400B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1343</Words>
  <Characters>7657</Characters>
  <Application>Microsoft Office Word</Application>
  <DocSecurity>0</DocSecurity>
  <PresentationFormat/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 Montfort University</Company>
  <LinksUpToDate>false</LinksUpToDate>
  <CharactersWithSpaces>8983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Omar</dc:creator>
  <cp:lastModifiedBy>Paul Omar</cp:lastModifiedBy>
  <cp:revision>3</cp:revision>
  <cp:lastPrinted>2017-11-20T20:14:00Z</cp:lastPrinted>
  <dcterms:created xsi:type="dcterms:W3CDTF">2025-02-14T14:03:00Z</dcterms:created>
  <dcterms:modified xsi:type="dcterms:W3CDTF">2025-02-14T14:17:00Z</dcterms:modified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anFooter">
    <vt:lpwstr>1039119/0162/J12269628v1</vt:lpwstr>
  </property>
  <property fmtid="{D5CDD505-2E9C-101B-9397-08002B2CF9AE}" pid="3" name="WSFooter">
    <vt:lpwstr>1039119/0162/J12269628v1</vt:lpwstr>
  </property>
</Properties>
</file>