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E11D" w14:textId="67773DA1" w:rsidR="005D783E" w:rsidRPr="00B903CC" w:rsidRDefault="005D783E" w:rsidP="003C338F">
      <w:pPr>
        <w:tabs>
          <w:tab w:val="left" w:pos="474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39E9118B" w14:textId="561C5F5A" w:rsidR="00617533" w:rsidRPr="00B903CC" w:rsidRDefault="00492065" w:rsidP="008609C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03C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982D471" wp14:editId="528F6F1F">
            <wp:extent cx="3946525" cy="1578436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933" cy="160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2CC93" w14:textId="77777777" w:rsidR="00617533" w:rsidRPr="00B903CC" w:rsidRDefault="00617533" w:rsidP="008609C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7EFD65" w14:textId="35CB262C" w:rsidR="00617533" w:rsidRPr="00B903CC" w:rsidRDefault="00617533" w:rsidP="008609CB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903CC">
        <w:rPr>
          <w:rFonts w:ascii="Times New Roman" w:hAnsi="Times New Roman"/>
          <w:b/>
          <w:sz w:val="36"/>
          <w:szCs w:val="36"/>
        </w:rPr>
        <w:t xml:space="preserve">Inside Story – </w:t>
      </w:r>
      <w:r w:rsidR="000F0420">
        <w:rPr>
          <w:rFonts w:ascii="Times New Roman" w:hAnsi="Times New Roman"/>
          <w:b/>
          <w:sz w:val="36"/>
          <w:szCs w:val="36"/>
        </w:rPr>
        <w:t>April</w:t>
      </w:r>
      <w:r w:rsidR="00786CA6" w:rsidRPr="00B903CC">
        <w:rPr>
          <w:rFonts w:ascii="Times New Roman" w:hAnsi="Times New Roman"/>
          <w:b/>
          <w:sz w:val="36"/>
          <w:szCs w:val="36"/>
        </w:rPr>
        <w:t xml:space="preserve"> </w:t>
      </w:r>
      <w:r w:rsidRPr="00B903CC">
        <w:rPr>
          <w:rFonts w:ascii="Times New Roman" w:hAnsi="Times New Roman"/>
          <w:b/>
          <w:sz w:val="36"/>
          <w:szCs w:val="36"/>
        </w:rPr>
        <w:t>20</w:t>
      </w:r>
      <w:r w:rsidR="00782731" w:rsidRPr="00B903CC">
        <w:rPr>
          <w:rFonts w:ascii="Times New Roman" w:hAnsi="Times New Roman"/>
          <w:b/>
          <w:sz w:val="36"/>
          <w:szCs w:val="36"/>
        </w:rPr>
        <w:t>2</w:t>
      </w:r>
      <w:r w:rsidR="00D10A38">
        <w:rPr>
          <w:rFonts w:ascii="Times New Roman" w:hAnsi="Times New Roman"/>
          <w:b/>
          <w:sz w:val="36"/>
          <w:szCs w:val="36"/>
        </w:rPr>
        <w:t>5</w:t>
      </w:r>
    </w:p>
    <w:p w14:paraId="1ECBC4F0" w14:textId="77777777" w:rsidR="00617533" w:rsidRPr="00B903CC" w:rsidRDefault="00617533" w:rsidP="008609C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5DFE654" w14:textId="190EDCBF" w:rsidR="00E71E7B" w:rsidRPr="000F0420" w:rsidRDefault="000F0420" w:rsidP="008609CB">
      <w:pPr>
        <w:spacing w:after="0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0F0420">
        <w:rPr>
          <w:rFonts w:ascii="Times New Roman" w:hAnsi="Times New Roman"/>
          <w:b/>
          <w:bCs/>
          <w:sz w:val="32"/>
          <w:szCs w:val="32"/>
          <w:lang w:val="en-US"/>
        </w:rPr>
        <w:t xml:space="preserve">Mapping Grey Areas in International Legal Approaches to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t</w:t>
      </w:r>
      <w:r w:rsidRPr="000F0420">
        <w:rPr>
          <w:rFonts w:ascii="Times New Roman" w:hAnsi="Times New Roman"/>
          <w:b/>
          <w:bCs/>
          <w:sz w:val="32"/>
          <w:szCs w:val="32"/>
          <w:lang w:val="en-US"/>
        </w:rPr>
        <w:t>he Failure of Crypto Firms</w:t>
      </w:r>
    </w:p>
    <w:p w14:paraId="2697BF1D" w14:textId="77777777" w:rsidR="000F0420" w:rsidRDefault="000F0420" w:rsidP="000F0420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DAE9D3B" w14:textId="367AF863" w:rsidR="0011226B" w:rsidRPr="00FA6321" w:rsidRDefault="000F0420" w:rsidP="000F0420">
      <w:pPr>
        <w:pStyle w:val="NoSpacing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Rebecca Parry, Professor, Nottingham Law School, UK</w:t>
      </w:r>
      <w:r w:rsidR="00D10A38" w:rsidRPr="00FA6321">
        <w:rPr>
          <w:rFonts w:ascii="Times New Roman" w:hAnsi="Times New Roman" w:cs="Times New Roman"/>
          <w:i/>
          <w:sz w:val="24"/>
          <w:szCs w:val="24"/>
          <w:lang w:val="en-GB"/>
        </w:rPr>
        <w:t>. Email: &lt;</w:t>
      </w:r>
      <w:r>
        <w:rPr>
          <w:rFonts w:ascii="Times New Roman" w:hAnsi="Times New Roman" w:cs="Times New Roman"/>
          <w:i/>
          <w:sz w:val="24"/>
          <w:szCs w:val="24"/>
        </w:rPr>
        <w:t>rebecca.parry</w:t>
      </w:r>
      <w:r w:rsidR="00FA6321" w:rsidRPr="00FA6321">
        <w:rPr>
          <w:rFonts w:ascii="Times New Roman" w:hAnsi="Times New Roman" w:cs="Times New Roman"/>
          <w:i/>
          <w:sz w:val="24"/>
          <w:szCs w:val="24"/>
        </w:rPr>
        <w:t>@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="00FA6321" w:rsidRPr="00FA6321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u.ac.uk</w:t>
      </w:r>
      <w:r w:rsidR="00D10A38" w:rsidRPr="00FA6321">
        <w:rPr>
          <w:rFonts w:ascii="Times New Roman" w:hAnsi="Times New Roman" w:cs="Times New Roman"/>
          <w:i/>
          <w:sz w:val="24"/>
          <w:szCs w:val="24"/>
          <w:lang w:val="en-GB"/>
        </w:rPr>
        <w:t>&gt;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14:paraId="127C267D" w14:textId="065BE9D9" w:rsidR="00E71E7B" w:rsidRDefault="00E71E7B" w:rsidP="00FA6321">
      <w:pPr>
        <w:spacing w:after="0"/>
        <w:contextualSpacing/>
        <w:rPr>
          <w:rFonts w:ascii="Times New Roman" w:hAnsi="Times New Roman"/>
          <w:i/>
          <w:sz w:val="24"/>
          <w:szCs w:val="24"/>
        </w:rPr>
      </w:pPr>
    </w:p>
    <w:p w14:paraId="0F26CF73" w14:textId="77777777" w:rsidR="000F0420" w:rsidRPr="00FA6321" w:rsidRDefault="000F0420" w:rsidP="00FA6321">
      <w:pPr>
        <w:spacing w:after="0"/>
        <w:contextualSpacing/>
        <w:rPr>
          <w:rFonts w:ascii="Times New Roman" w:hAnsi="Times New Roman"/>
          <w:i/>
          <w:sz w:val="24"/>
          <w:szCs w:val="24"/>
        </w:rPr>
      </w:pPr>
    </w:p>
    <w:p w14:paraId="39F0D831" w14:textId="1242C9C4" w:rsidR="00FA6321" w:rsidRPr="000F0420" w:rsidRDefault="00FA6321" w:rsidP="000F0420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F0420">
        <w:rPr>
          <w:rFonts w:ascii="Times New Roman" w:hAnsi="Times New Roman" w:cs="Times New Roman"/>
          <w:b w:val="0"/>
          <w:bCs w:val="0"/>
          <w:sz w:val="24"/>
          <w:szCs w:val="24"/>
        </w:rPr>
        <w:t>Introduction</w:t>
      </w:r>
    </w:p>
    <w:p w14:paraId="67A29F73" w14:textId="77777777" w:rsidR="00FA6321" w:rsidRPr="000F0420" w:rsidRDefault="00FA6321" w:rsidP="000F0420">
      <w:pPr>
        <w:spacing w:after="0"/>
        <w:rPr>
          <w:rFonts w:ascii="Times New Roman" w:hAnsi="Times New Roman"/>
          <w:sz w:val="24"/>
          <w:szCs w:val="24"/>
        </w:rPr>
      </w:pPr>
    </w:p>
    <w:p w14:paraId="5654BE13" w14:textId="35261323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Cryptoassets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have grown in popularity in recent years, with 8% of EU citizens reported as having crypto investments.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This is also an area of unusually high cross border investment in the EU, with 40% of crypto investments crossing borders.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There has been similar or greater interest in many other countries, including in developing countries, often without awareness of the real risk entailed.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When failures happen, they have the potential to be cross-border and legally messy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and studies have highlighted that crypto businesses may not address insolvency issues adequately in terms of service or otherwise.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3"/>
      </w:r>
    </w:p>
    <w:p w14:paraId="0C0CCBC7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1F241D8" w14:textId="77777777" w:rsidR="000F0420" w:rsidRPr="000F0420" w:rsidRDefault="000F0420" w:rsidP="000F0420">
      <w:pPr>
        <w:spacing w:after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proofErr w:type="spellStart"/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>Cryptoassets</w:t>
      </w:r>
      <w:proofErr w:type="spellEnd"/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>cryptoasset</w:t>
      </w:r>
      <w:proofErr w:type="spellEnd"/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service providers</w:t>
      </w:r>
    </w:p>
    <w:p w14:paraId="1BF11B1D" w14:textId="77777777" w:rsid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5D4F049" w14:textId="08EEE73E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To provide some brief context, a crypto insolvency can relate to the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itself or to a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service provider, ‘CASP’.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can be either a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stablecoin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, such as Tether, which has an asset backing, or unbacked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>, such as Bitcoin or Dogecoin whose value depends on market sentiment, rather than any underlying value.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There are also utility tokens which operate via smart contracts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and are designed to grant to owners’ rights to perform a specific action or claim a particular benefit on a website or to take part in decisions about crypto coins or blockchains.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4"/>
      </w:r>
    </w:p>
    <w:p w14:paraId="7512DAD0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F61438A" w14:textId="093E76E4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Originally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this sector developed as an alternative to traditional financial intermediaries.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 genius of Bitcoin was to use complex calculations to verify transactions via an immutable blockchain in a way that prevents double spending.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In a decentralised blockchain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anyone can access and solve the calculations.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 high energy costs of this approach have seen an alternative ‘proof of stake’ approach being adopted, which use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staked assets as a way of keeping transactions honest.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5"/>
      </w:r>
    </w:p>
    <w:p w14:paraId="0168E738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07AF9FB" w14:textId="00E526AC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Cryptoassets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enable peer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to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peer transactions, so that traditional intermediaries such as banks 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t need to be used, but since this was beyond the technical skills of most CASPs have emerged. Exchange such as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Binance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have developed, as well as decentred exchanges,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DeFi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or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DEx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, such as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UniSwap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, which developed to facilitate </w:t>
      </w:r>
      <w:r>
        <w:rPr>
          <w:rFonts w:ascii="Times New Roman" w:hAnsi="Times New Roman"/>
          <w:color w:val="000000" w:themeColor="text1"/>
          <w:sz w:val="24"/>
          <w:szCs w:val="24"/>
        </w:rPr>
        <w:t>peer-to-peer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transaction.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Although an individual can hold their own crypto there are also custodian services which have developed to manage crypto wallets.</w:t>
      </w:r>
    </w:p>
    <w:p w14:paraId="78D4D338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7B80A2A" w14:textId="0E0153BF" w:rsidR="000F0420" w:rsidRPr="000F0420" w:rsidRDefault="000F0420" w:rsidP="000F0420">
      <w:pPr>
        <w:spacing w:after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>Crypto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-</w:t>
      </w:r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>regulation</w:t>
      </w:r>
    </w:p>
    <w:p w14:paraId="4327A6E6" w14:textId="77777777" w:rsid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A6A9E0A" w14:textId="66E8A702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In recent years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CASPS have enabled greater access to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but this can lead to expectation gaps as some will think that there are consumer protections that apply to other assets, such as bank accounts.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6"/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Others will lose out as a result of scams and ‘pump and dump’ schemes.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In response to these and other risks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 safe environment for crypto investment is being built in many jurisdictions.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 EU has the Markets in Crypto Assets Regulation,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7"/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‘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MiCAR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>’ and other jurisdictions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such as the UK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8"/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and Singapore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9"/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have strong regulatory approaches.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Organisations such as UNIDROIT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10"/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and the UK Jurisdiction Task Force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11"/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have contributed valuable discussions of insolvency aspects that can be of persuasive guidance in other jurisdictions.</w:t>
      </w:r>
    </w:p>
    <w:p w14:paraId="373DA2A0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294A86B" w14:textId="5040A8AC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There will be cases that fall outside these well-regulated jurisdictions.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Some crypto businesses deliberately operate in light regulatory jurisdictions, potentially to the detriment of customers.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12"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In our study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we found that crypto exchanges will include in their terms of service lists of countries from which they would not accept customers. In many cases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this was unsurprising as the countries were subject to sanctions, or local circumstances would have made doing business there difficult.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Surprisingly, however, the country whose citizens were most often excluded as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lastRenderedPageBreak/>
        <w:t>customers was the United States.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This suggested that many would deliberately exclude customers from jurisdictions with high levels of crypto regulation.</w:t>
      </w:r>
    </w:p>
    <w:p w14:paraId="2C0DF7F9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EEEE2E6" w14:textId="16FE199B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Many crypto firms, particularly those operating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memecoins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DeFi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exchanges, will also offer little or no indication of legal aspects of trading with them.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Terms of service can be difficult to find and, in some instances, non-existent and they can also fail to address matters such as proprietary entitlements that would be important in an insolvency.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13"/>
      </w:r>
    </w:p>
    <w:p w14:paraId="1D836A6C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596750B" w14:textId="77777777" w:rsidR="000F0420" w:rsidRPr="000F0420" w:rsidRDefault="000F0420" w:rsidP="000F0420">
      <w:pPr>
        <w:spacing w:after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>Crypto insolvencies</w:t>
      </w:r>
    </w:p>
    <w:p w14:paraId="4D004F0E" w14:textId="77777777" w:rsid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8150F9A" w14:textId="1FE59C69" w:rsidR="000F0420" w:rsidRPr="000F0420" w:rsidRDefault="000F0420" w:rsidP="000F042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Cryptoassets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(other than most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stablecoins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) and crypto service providers, “crypto firms”, operate in a volatile market beset with legal uncertainties, making insolvencies likely, especially where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cryptoassets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have no intrinsic value and where regulatory changes will bring turmoil.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 risks in this sector were clearly illustrated during the “Crypto Winter” of 2022-23</w:t>
      </w:r>
      <w:r w:rsidRPr="000F0420">
        <w:rPr>
          <w:rFonts w:ascii="Times New Roman" w:hAnsi="Times New Roman"/>
          <w:sz w:val="24"/>
          <w:szCs w:val="24"/>
        </w:rPr>
        <w:t xml:space="preserve">, both through the sudden collapse of the algorithmic </w:t>
      </w:r>
      <w:proofErr w:type="spellStart"/>
      <w:r w:rsidRPr="000F0420">
        <w:rPr>
          <w:rFonts w:ascii="Times New Roman" w:hAnsi="Times New Roman"/>
          <w:sz w:val="24"/>
          <w:szCs w:val="24"/>
        </w:rPr>
        <w:t>stablecoin</w:t>
      </w:r>
      <w:proofErr w:type="spellEnd"/>
      <w:r w:rsidRPr="000F0420">
        <w:rPr>
          <w:rFonts w:ascii="Times New Roman" w:hAnsi="Times New Roman"/>
          <w:sz w:val="24"/>
          <w:szCs w:val="24"/>
        </w:rPr>
        <w:t xml:space="preserve"> Terra/Luna and through the dramatic failure of the FTX exchange.</w:t>
      </w:r>
    </w:p>
    <w:p w14:paraId="2B0429F0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9C9AF5B" w14:textId="1E1852FF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A significant problem may be identifying in advance where an insolvency might take place.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Our study found that any crypto businesses are deliberately vague as to the location of their main operations.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Many customers will access crypto services online and relevant websites do not normally give any clear impression as to where the services are based.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Even if the customer consults the terms of service this may not help.</w:t>
      </w:r>
    </w:p>
    <w:p w14:paraId="295927BA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C55D319" w14:textId="46AE3732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Even if a centre of operations can be identified for a firm in one country, its insolvency will not necessarily be handled there.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 exchange FTX, was headquartered in one jurisdiction, the Bahamas, but entered insolvency proceedings in another jurisdiction, the United States.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There is no indication that this choice of jurisdiction operated unfairly, and this was a highly complex case that presented novel problems.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It was arguably best handled in a jurisdiction with sophisticated practices.</w:t>
      </w:r>
    </w:p>
    <w:p w14:paraId="63905FB0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4B3DB93" w14:textId="06C7B16A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Crypto trading is also often international and a failure could lead to diverse crypto investors facing difficulties as proceedings may be opened in another, unfamiliar, jurisdiction.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A further problem is that cases can take a long time to resolve.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In both FTX and the earlier Japanese case of Mt Gox the companies ended up solvent as the price of Bitcoin had risen significantly and both companies held reserves.</w:t>
      </w:r>
    </w:p>
    <w:p w14:paraId="72FB5ACF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FD7B12F" w14:textId="02B968C2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It may be that some crypto firms can clarify their approach from the outset through a statement as to where insolvency proceedings will take place.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14"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Such an approach would leave the company with flexibility to move its headquarters around but would offer greater certainty as to what will happen in the event of an insolvency.</w:t>
      </w:r>
    </w:p>
    <w:p w14:paraId="00B526D4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09F42D2" w14:textId="248844D8" w:rsid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lastRenderedPageBreak/>
        <w:t>A more predictable approach to the insolvency jurisdiction would be important as there can be impacts on creditor entitlements, depending on where the insolvency proceedings are opened, as in other cross-border cases.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Most consumer customers will not be aware that they would be in a strong position if they can establish a proprietary interest.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 terms offered by crypto firms will not always be consistent with the existence of a proprietary interest.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Some will not address this issue at all, and some may not segregate assets even if the contract terms say they will.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Some will use a third party as custodian but the terms of custodians won’t necessarily be clear either.</w:t>
      </w:r>
      <w:r w:rsidRPr="000F0420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15"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Consumers will not know to choose CASPs that clearly establish this.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MiCAR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and other instruments are addressing this in attending to custodial issues but </w:t>
      </w:r>
      <w:proofErr w:type="spellStart"/>
      <w:r w:rsidRPr="000F0420">
        <w:rPr>
          <w:rFonts w:ascii="Times New Roman" w:hAnsi="Times New Roman"/>
          <w:color w:val="000000" w:themeColor="text1"/>
          <w:sz w:val="24"/>
          <w:szCs w:val="24"/>
        </w:rPr>
        <w:t>cryptoassets</w:t>
      </w:r>
      <w:proofErr w:type="spellEnd"/>
      <w:r w:rsidRPr="000F0420">
        <w:rPr>
          <w:rFonts w:ascii="Times New Roman" w:hAnsi="Times New Roman"/>
          <w:color w:val="000000" w:themeColor="text1"/>
          <w:sz w:val="24"/>
          <w:szCs w:val="24"/>
        </w:rPr>
        <w:t xml:space="preserve"> are not regarded in the same way in all jurisdictions.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It would be preferable to see greater crypto industry initiatives to address regulatory gaps.</w:t>
      </w:r>
    </w:p>
    <w:p w14:paraId="1AC5D77B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8D347C9" w14:textId="77777777" w:rsidR="000F0420" w:rsidRPr="000F0420" w:rsidRDefault="000F0420" w:rsidP="000F0420">
      <w:pPr>
        <w:spacing w:after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i/>
          <w:iCs/>
          <w:color w:val="000000" w:themeColor="text1"/>
          <w:sz w:val="24"/>
          <w:szCs w:val="24"/>
        </w:rPr>
        <w:t>Future research</w:t>
      </w:r>
    </w:p>
    <w:p w14:paraId="142B6C4D" w14:textId="77777777" w:rsid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C75B2A1" w14:textId="32E84853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F0420">
        <w:rPr>
          <w:rFonts w:ascii="Times New Roman" w:hAnsi="Times New Roman"/>
          <w:color w:val="000000" w:themeColor="text1"/>
          <w:sz w:val="24"/>
          <w:szCs w:val="24"/>
        </w:rPr>
        <w:t>Our recent research project is a first step towards this analysis by identifying the issues that are likely to arise in the event of the failure of a crypto firm, mapping the jurisdictions that are likely to be involved, and identifying possible legal responses.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The project developed an international network funded by the Arts and Humanities Research Council and in partnership with INSOL International and the Istanbul Bar Association.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It brought together academic and practitioner representation from major crypto-investing countries, with equal representation from developing countries where there are high levels of crypto investment.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Ultimately, we would like to see the grey areas that we have identified being addressed, bringing greater certainty as to what will happen in the insolvency of a crypto firm, as well as greater industry initiatives leading to better information for consumers.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20">
        <w:rPr>
          <w:rFonts w:ascii="Times New Roman" w:hAnsi="Times New Roman"/>
          <w:color w:val="000000" w:themeColor="text1"/>
          <w:sz w:val="24"/>
          <w:szCs w:val="24"/>
        </w:rPr>
        <w:t>Since not all states are likely to adopt adequate crypto regulation laws we would like to see market-based solutions as CASPs adopt standards voluntarily.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A527E56" w14:textId="77777777" w:rsidR="000F0420" w:rsidRPr="000F0420" w:rsidRDefault="000F0420" w:rsidP="000F042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9C59DC1" w14:textId="77777777" w:rsidR="000F0420" w:rsidRPr="000F0420" w:rsidRDefault="000F0420" w:rsidP="000F0420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0F0420">
        <w:rPr>
          <w:rFonts w:ascii="Times New Roman" w:hAnsi="Times New Roman"/>
          <w:i/>
          <w:iCs/>
          <w:sz w:val="24"/>
          <w:szCs w:val="24"/>
        </w:rPr>
        <w:t>Conclusion</w:t>
      </w:r>
    </w:p>
    <w:p w14:paraId="04B4239E" w14:textId="77777777" w:rsidR="000F0420" w:rsidRDefault="000F0420" w:rsidP="000F0420">
      <w:pPr>
        <w:spacing w:after="0"/>
        <w:rPr>
          <w:rFonts w:ascii="Times New Roman" w:hAnsi="Times New Roman"/>
          <w:sz w:val="24"/>
          <w:szCs w:val="24"/>
        </w:rPr>
      </w:pPr>
    </w:p>
    <w:p w14:paraId="5761A948" w14:textId="60E678C6" w:rsidR="0047439B" w:rsidRPr="000F0420" w:rsidRDefault="000F0420" w:rsidP="000F042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0420">
        <w:rPr>
          <w:rFonts w:ascii="Times New Roman" w:hAnsi="Times New Roman"/>
          <w:sz w:val="24"/>
          <w:szCs w:val="24"/>
        </w:rPr>
        <w:t>Cryptoassets</w:t>
      </w:r>
      <w:proofErr w:type="spellEnd"/>
      <w:r w:rsidRPr="000F0420">
        <w:rPr>
          <w:rFonts w:ascii="Times New Roman" w:hAnsi="Times New Roman"/>
          <w:sz w:val="24"/>
          <w:szCs w:val="24"/>
        </w:rPr>
        <w:t xml:space="preserve"> can offer exciting opportunities for many but also risks and there can be consumer misunderstandings that can be exploited by opportunists.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420">
        <w:rPr>
          <w:rFonts w:ascii="Times New Roman" w:hAnsi="Times New Roman"/>
          <w:sz w:val="24"/>
          <w:szCs w:val="24"/>
        </w:rPr>
        <w:t xml:space="preserve">Efforts are being made to regulate this sector in many jurisdictions and the EU’s </w:t>
      </w:r>
      <w:proofErr w:type="spellStart"/>
      <w:r w:rsidRPr="000F0420">
        <w:rPr>
          <w:rFonts w:ascii="Times New Roman" w:hAnsi="Times New Roman"/>
          <w:sz w:val="24"/>
          <w:szCs w:val="24"/>
        </w:rPr>
        <w:t>MiCAR</w:t>
      </w:r>
      <w:proofErr w:type="spellEnd"/>
      <w:r w:rsidRPr="000F0420">
        <w:rPr>
          <w:rFonts w:ascii="Times New Roman" w:hAnsi="Times New Roman"/>
          <w:sz w:val="24"/>
          <w:szCs w:val="24"/>
        </w:rPr>
        <w:t xml:space="preserve"> sets a high standard. There are also regulatory grey areas and there is much that the crypto industry can do to bring clarity in cross-border cases and address the other problems that we have identified.</w:t>
      </w:r>
    </w:p>
    <w:sectPr w:rsidR="0047439B" w:rsidRPr="000F0420" w:rsidSect="00086E49">
      <w:headerReference w:type="default" r:id="rId9"/>
      <w:footerReference w:type="default" r:id="rId10"/>
      <w:pgSz w:w="11907" w:h="16840" w:code="9"/>
      <w:pgMar w:top="1440" w:right="1418" w:bottom="1440" w:left="1418" w:header="720" w:footer="3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3223" w14:textId="77777777" w:rsidR="008F3322" w:rsidRDefault="008F3322">
      <w:r>
        <w:separator/>
      </w:r>
    </w:p>
  </w:endnote>
  <w:endnote w:type="continuationSeparator" w:id="0">
    <w:p w14:paraId="49E6B2FC" w14:textId="77777777" w:rsidR="008F3322" w:rsidRDefault="008F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B342" w14:textId="77777777" w:rsidR="00BF3D3E" w:rsidRPr="001C5080" w:rsidRDefault="00BF3D3E" w:rsidP="00086E49">
    <w:pPr>
      <w:tabs>
        <w:tab w:val="center" w:pos="4536"/>
        <w:tab w:val="right" w:pos="8789"/>
      </w:tabs>
      <w:spacing w:after="0"/>
      <w:rPr>
        <w:rFonts w:cs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58F1" w14:textId="77777777" w:rsidR="008F3322" w:rsidRDefault="008F3322">
      <w:r>
        <w:separator/>
      </w:r>
    </w:p>
  </w:footnote>
  <w:footnote w:type="continuationSeparator" w:id="0">
    <w:p w14:paraId="032E8503" w14:textId="77777777" w:rsidR="008F3322" w:rsidRDefault="008F3322">
      <w:r>
        <w:continuationSeparator/>
      </w:r>
    </w:p>
  </w:footnote>
  <w:footnote w:id="1">
    <w:p w14:paraId="53453A96" w14:textId="46B7A23A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European Commission, Flash Eurobarometer 509, Retail Financial Services and Products, October 2022, 2.4, available at</w:t>
      </w:r>
      <w:r w:rsidRPr="00D637FF">
        <w:rPr>
          <w:rFonts w:ascii="Times New Roman" w:hAnsi="Times New Roman"/>
        </w:rPr>
        <w:t>:</w:t>
      </w:r>
      <w:r w:rsidRPr="00D637FF">
        <w:rPr>
          <w:rFonts w:ascii="Times New Roman" w:hAnsi="Times New Roman"/>
        </w:rPr>
        <w:t xml:space="preserve"> </w:t>
      </w:r>
      <w:r w:rsidRPr="00D637FF">
        <w:rPr>
          <w:rFonts w:ascii="Times New Roman" w:hAnsi="Times New Roman"/>
        </w:rPr>
        <w:t>&lt;</w:t>
      </w:r>
      <w:r w:rsidRPr="00D637FF">
        <w:rPr>
          <w:rFonts w:ascii="Times New Roman" w:hAnsi="Times New Roman"/>
        </w:rPr>
        <w:t>https://europa.eu/eurobarometer/surveys/detail/2666</w:t>
      </w:r>
      <w:r w:rsidRPr="00D637FF">
        <w:rPr>
          <w:rFonts w:ascii="Times New Roman" w:hAnsi="Times New Roman"/>
        </w:rPr>
        <w:t>&gt;</w:t>
      </w:r>
      <w:r w:rsidRPr="00D637FF">
        <w:rPr>
          <w:rFonts w:ascii="Times New Roman" w:hAnsi="Times New Roman"/>
        </w:rPr>
        <w:t>.</w:t>
      </w:r>
    </w:p>
  </w:footnote>
  <w:footnote w:id="2">
    <w:p w14:paraId="21E57AF0" w14:textId="19633EC0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Aleksandr </w:t>
      </w:r>
      <w:proofErr w:type="spellStart"/>
      <w:r w:rsidRPr="00D637FF">
        <w:rPr>
          <w:rFonts w:ascii="Times New Roman" w:hAnsi="Times New Roman"/>
        </w:rPr>
        <w:t>Alekseenko</w:t>
      </w:r>
      <w:proofErr w:type="spellEnd"/>
      <w:r w:rsidRPr="00D637FF">
        <w:rPr>
          <w:rFonts w:ascii="Times New Roman" w:hAnsi="Times New Roman"/>
        </w:rPr>
        <w:t>, ‘Model Framework for Consumer Protection and Crypto-Exchanges Regulation’ (2023) 16</w:t>
      </w:r>
      <w:r w:rsidRPr="00D637FF">
        <w:rPr>
          <w:rFonts w:ascii="Times New Roman" w:hAnsi="Times New Roman"/>
        </w:rPr>
        <w:t xml:space="preserve"> </w:t>
      </w:r>
      <w:r w:rsidRPr="00D637FF">
        <w:rPr>
          <w:rFonts w:ascii="Times New Roman" w:hAnsi="Times New Roman"/>
          <w:i/>
          <w:iCs/>
        </w:rPr>
        <w:t xml:space="preserve">J. Risk Financial </w:t>
      </w:r>
      <w:proofErr w:type="spellStart"/>
      <w:r w:rsidRPr="00D637FF">
        <w:rPr>
          <w:rFonts w:ascii="Times New Roman" w:hAnsi="Times New Roman"/>
          <w:i/>
          <w:iCs/>
        </w:rPr>
        <w:t>Manag</w:t>
      </w:r>
      <w:proofErr w:type="spellEnd"/>
      <w:r w:rsidRPr="00D637FF">
        <w:rPr>
          <w:rFonts w:ascii="Times New Roman" w:hAnsi="Times New Roman"/>
          <w:i/>
          <w:iCs/>
        </w:rPr>
        <w:t xml:space="preserve"> </w:t>
      </w:r>
      <w:r w:rsidRPr="00D637FF">
        <w:rPr>
          <w:rFonts w:ascii="Times New Roman" w:hAnsi="Times New Roman"/>
        </w:rPr>
        <w:t>305</w:t>
      </w:r>
      <w:r w:rsidRPr="00D637FF">
        <w:rPr>
          <w:rFonts w:ascii="Times New Roman" w:hAnsi="Times New Roman"/>
        </w:rPr>
        <w:t>, available at: &lt;</w:t>
      </w:r>
      <w:r w:rsidRPr="00D637FF">
        <w:rPr>
          <w:rFonts w:ascii="Times New Roman" w:hAnsi="Times New Roman"/>
        </w:rPr>
        <w:t>https://doi.org/10.3390/jrfm16070305</w:t>
      </w:r>
      <w:r w:rsidRPr="00D637FF">
        <w:rPr>
          <w:rFonts w:ascii="Times New Roman" w:hAnsi="Times New Roman"/>
        </w:rPr>
        <w:t>&gt;.</w:t>
      </w:r>
    </w:p>
  </w:footnote>
  <w:footnote w:id="3">
    <w:p w14:paraId="08CB9D17" w14:textId="77777777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See e.g. Ilya Kokorin, ‘Crypto Insolvencies and the Limits of a Contract and Contract Law’ (2023) 31 </w:t>
      </w:r>
      <w:r w:rsidRPr="00D637FF">
        <w:rPr>
          <w:rFonts w:ascii="Times New Roman" w:hAnsi="Times New Roman"/>
          <w:i/>
          <w:iCs/>
        </w:rPr>
        <w:t>European Review of Private Law</w:t>
      </w:r>
      <w:r w:rsidRPr="00D637FF">
        <w:rPr>
          <w:rFonts w:ascii="Times New Roman" w:hAnsi="Times New Roman"/>
        </w:rPr>
        <w:t xml:space="preserve"> 1245</w:t>
      </w:r>
      <w:r w:rsidRPr="00D637FF">
        <w:rPr>
          <w:rFonts w:ascii="Times New Roman" w:hAnsi="Times New Roman"/>
        </w:rPr>
        <w:t>;</w:t>
      </w:r>
      <w:r w:rsidRPr="00D637FF">
        <w:rPr>
          <w:rFonts w:ascii="Times New Roman" w:hAnsi="Times New Roman"/>
        </w:rPr>
        <w:t xml:space="preserve"> Dirk </w:t>
      </w:r>
      <w:proofErr w:type="spellStart"/>
      <w:r w:rsidRPr="00D637FF">
        <w:rPr>
          <w:rFonts w:ascii="Times New Roman" w:hAnsi="Times New Roman"/>
        </w:rPr>
        <w:t>Zetzsche</w:t>
      </w:r>
      <w:proofErr w:type="spellEnd"/>
      <w:r w:rsidRPr="00D637FF">
        <w:rPr>
          <w:rFonts w:ascii="Times New Roman" w:hAnsi="Times New Roman"/>
        </w:rPr>
        <w:t xml:space="preserve"> and </w:t>
      </w:r>
      <w:proofErr w:type="spellStart"/>
      <w:r w:rsidRPr="00D637FF">
        <w:rPr>
          <w:rFonts w:ascii="Times New Roman" w:hAnsi="Times New Roman"/>
        </w:rPr>
        <w:t>Areti</w:t>
      </w:r>
      <w:proofErr w:type="spellEnd"/>
      <w:r w:rsidRPr="00D637FF">
        <w:rPr>
          <w:rFonts w:ascii="Times New Roman" w:hAnsi="Times New Roman"/>
        </w:rPr>
        <w:t xml:space="preserve"> </w:t>
      </w:r>
      <w:proofErr w:type="spellStart"/>
      <w:r w:rsidRPr="00D637FF">
        <w:rPr>
          <w:rFonts w:ascii="Times New Roman" w:hAnsi="Times New Roman"/>
        </w:rPr>
        <w:t>Nikolakopoulou</w:t>
      </w:r>
      <w:proofErr w:type="spellEnd"/>
      <w:r w:rsidRPr="00D637FF">
        <w:rPr>
          <w:rFonts w:ascii="Times New Roman" w:hAnsi="Times New Roman"/>
        </w:rPr>
        <w:t>, ‘Crypto Custody and Crypto Wallets – An Empirical Assessment’ (</w:t>
      </w:r>
      <w:r w:rsidRPr="00D637FF">
        <w:rPr>
          <w:rFonts w:ascii="Times New Roman" w:hAnsi="Times New Roman"/>
        </w:rPr>
        <w:t xml:space="preserve">22 </w:t>
      </w:r>
      <w:r w:rsidRPr="00D637FF">
        <w:rPr>
          <w:rFonts w:ascii="Times New Roman" w:hAnsi="Times New Roman"/>
        </w:rPr>
        <w:t>March 2024)</w:t>
      </w:r>
      <w:r w:rsidRPr="00D637FF">
        <w:rPr>
          <w:rFonts w:ascii="Times New Roman" w:hAnsi="Times New Roman"/>
        </w:rPr>
        <w:t>, a</w:t>
      </w:r>
      <w:r w:rsidRPr="00D637FF">
        <w:rPr>
          <w:rFonts w:ascii="Times New Roman" w:hAnsi="Times New Roman"/>
        </w:rPr>
        <w:t xml:space="preserve">vailable </w:t>
      </w:r>
      <w:r w:rsidRPr="00D637FF">
        <w:rPr>
          <w:rFonts w:ascii="Times New Roman" w:hAnsi="Times New Roman"/>
        </w:rPr>
        <w:t xml:space="preserve">via </w:t>
      </w:r>
      <w:r w:rsidRPr="00D637FF">
        <w:rPr>
          <w:rFonts w:ascii="Times New Roman" w:hAnsi="Times New Roman"/>
        </w:rPr>
        <w:t>SSRN</w:t>
      </w:r>
      <w:r w:rsidRPr="00D637FF">
        <w:rPr>
          <w:rFonts w:ascii="Times New Roman" w:hAnsi="Times New Roman"/>
        </w:rPr>
        <w:t xml:space="preserve"> at</w:t>
      </w:r>
      <w:r w:rsidRPr="00D637FF">
        <w:rPr>
          <w:rFonts w:ascii="Times New Roman" w:hAnsi="Times New Roman"/>
        </w:rPr>
        <w:t>:</w:t>
      </w:r>
    </w:p>
    <w:p w14:paraId="7BAA18FC" w14:textId="3CD849A3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Fonts w:ascii="Times New Roman" w:hAnsi="Times New Roman"/>
        </w:rPr>
        <w:t>&lt;</w:t>
      </w:r>
      <w:hyperlink r:id="rId1" w:tgtFrame="_blank" w:history="1">
        <w:r w:rsidRPr="00D637FF">
          <w:rPr>
            <w:rStyle w:val="Hyperlink"/>
            <w:rFonts w:ascii="Times New Roman" w:hAnsi="Times New Roman"/>
            <w:color w:val="auto"/>
            <w:u w:val="none"/>
          </w:rPr>
          <w:t>https://ssrn.com/abstract=4769396</w:t>
        </w:r>
      </w:hyperlink>
      <w:r w:rsidRPr="00D637FF">
        <w:rPr>
          <w:rStyle w:val="Hyperlink"/>
          <w:rFonts w:ascii="Times New Roman" w:hAnsi="Times New Roman"/>
          <w:color w:val="auto"/>
          <w:u w:val="none"/>
        </w:rPr>
        <w:t>;</w:t>
      </w:r>
      <w:r w:rsidRPr="00D637FF">
        <w:rPr>
          <w:rFonts w:ascii="Times New Roman" w:hAnsi="Times New Roman"/>
        </w:rPr>
        <w:t xml:space="preserve"> &lt;</w:t>
      </w:r>
      <w:hyperlink r:id="rId2" w:tgtFrame="_blank" w:history="1">
        <w:r w:rsidRPr="00D637FF">
          <w:rPr>
            <w:rStyle w:val="Hyperlink"/>
            <w:rFonts w:ascii="Times New Roman" w:hAnsi="Times New Roman"/>
            <w:color w:val="auto"/>
            <w:u w:val="none"/>
          </w:rPr>
          <w:t>http://dx.doi.org/10.2139/ssrn.4769396</w:t>
        </w:r>
      </w:hyperlink>
      <w:r w:rsidRPr="00D637FF">
        <w:rPr>
          <w:rStyle w:val="Hyperlink"/>
          <w:rFonts w:ascii="Times New Roman" w:hAnsi="Times New Roman"/>
          <w:color w:val="auto"/>
          <w:u w:val="none"/>
        </w:rPr>
        <w:t>&gt;</w:t>
      </w:r>
      <w:r w:rsidRPr="00D637FF">
        <w:rPr>
          <w:rFonts w:ascii="Times New Roman" w:hAnsi="Times New Roman"/>
        </w:rPr>
        <w:t>.</w:t>
      </w:r>
    </w:p>
  </w:footnote>
  <w:footnote w:id="4">
    <w:p w14:paraId="4E5E667D" w14:textId="15643512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Briefly discussed by Vivian Fang, ‘FTX Bankruptcy – A Failure of Centralized Governance in the Name of Decentralized Cryptocurrencies’ </w:t>
      </w:r>
      <w:r w:rsidRPr="00D637FF">
        <w:rPr>
          <w:rFonts w:ascii="Times New Roman" w:hAnsi="Times New Roman"/>
        </w:rPr>
        <w:t>(</w:t>
      </w:r>
      <w:r w:rsidRPr="00D637FF">
        <w:rPr>
          <w:rFonts w:ascii="Times New Roman" w:hAnsi="Times New Roman"/>
        </w:rPr>
        <w:t>Harvard Law School Bankruptcy Roundtable</w:t>
      </w:r>
      <w:r w:rsidRPr="00D637FF">
        <w:rPr>
          <w:rFonts w:ascii="Times New Roman" w:hAnsi="Times New Roman"/>
        </w:rPr>
        <w:t>, 28 February 2023)</w:t>
      </w:r>
      <w:r w:rsidRPr="00D637FF">
        <w:rPr>
          <w:rFonts w:ascii="Times New Roman" w:hAnsi="Times New Roman"/>
        </w:rPr>
        <w:t>, available at</w:t>
      </w:r>
      <w:r w:rsidRPr="00D637FF">
        <w:rPr>
          <w:rFonts w:ascii="Times New Roman" w:hAnsi="Times New Roman"/>
        </w:rPr>
        <w:t>:</w:t>
      </w:r>
    </w:p>
    <w:p w14:paraId="478D668B" w14:textId="4054A66A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Fonts w:ascii="Times New Roman" w:hAnsi="Times New Roman"/>
        </w:rPr>
        <w:t>&lt;</w:t>
      </w:r>
      <w:hyperlink r:id="rId3" w:history="1">
        <w:r w:rsidRPr="00D637FF">
          <w:rPr>
            <w:rStyle w:val="Hyperlink"/>
            <w:rFonts w:ascii="Times New Roman" w:hAnsi="Times New Roman"/>
            <w:color w:val="auto"/>
            <w:u w:val="none"/>
          </w:rPr>
          <w:t>https://bankruptcyroundtable.law.harvard.edu/2023/02/28/crypto-bankruptcy-series-ftx-bankruptcy-a-failure-of-centralized-governance-in-the-name-of-decentralized-cryptocurrencies/</w:t>
        </w:r>
      </w:hyperlink>
      <w:r w:rsidRPr="00D637FF">
        <w:rPr>
          <w:rFonts w:ascii="Times New Roman" w:hAnsi="Times New Roman"/>
        </w:rPr>
        <w:t>&gt;.</w:t>
      </w:r>
    </w:p>
  </w:footnote>
  <w:footnote w:id="5">
    <w:p w14:paraId="531325BE" w14:textId="209BD04E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See e.g. Ethereum, ‘Proof of Stake’, </w:t>
      </w:r>
      <w:r w:rsidRPr="00D637FF">
        <w:rPr>
          <w:rFonts w:ascii="Times New Roman" w:hAnsi="Times New Roman"/>
        </w:rPr>
        <w:t>available at:</w:t>
      </w:r>
    </w:p>
    <w:p w14:paraId="16A3CB06" w14:textId="78197FAE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Fonts w:ascii="Times New Roman" w:hAnsi="Times New Roman"/>
        </w:rPr>
        <w:t>&lt;</w:t>
      </w:r>
      <w:hyperlink r:id="rId4" w:history="1">
        <w:r w:rsidRPr="00D637FF">
          <w:rPr>
            <w:rStyle w:val="Hyperlink"/>
            <w:rFonts w:ascii="Times New Roman" w:hAnsi="Times New Roman"/>
            <w:color w:val="auto"/>
            <w:u w:val="none"/>
          </w:rPr>
          <w:t>https://ethereum.org/en/developers/docs/consensus-mechanisms/pos/</w:t>
        </w:r>
      </w:hyperlink>
      <w:r w:rsidRPr="00D637FF">
        <w:rPr>
          <w:rFonts w:ascii="Times New Roman" w:hAnsi="Times New Roman"/>
        </w:rPr>
        <w:t>&gt;</w:t>
      </w:r>
      <w:r w:rsidRPr="00D637FF">
        <w:rPr>
          <w:rFonts w:ascii="Times New Roman" w:hAnsi="Times New Roman"/>
        </w:rPr>
        <w:t>.</w:t>
      </w:r>
    </w:p>
  </w:footnote>
  <w:footnote w:id="6">
    <w:p w14:paraId="24B06791" w14:textId="55ED1416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</w:t>
      </w:r>
      <w:r w:rsidR="00D637FF" w:rsidRPr="00D637FF">
        <w:rPr>
          <w:rFonts w:ascii="Times New Roman" w:hAnsi="Times New Roman"/>
        </w:rPr>
        <w:t xml:space="preserve">See </w:t>
      </w:r>
      <w:r w:rsidRPr="00D637FF">
        <w:rPr>
          <w:rFonts w:ascii="Times New Roman" w:hAnsi="Times New Roman"/>
        </w:rPr>
        <w:t xml:space="preserve">Rebecca Parry and </w:t>
      </w:r>
      <w:proofErr w:type="spellStart"/>
      <w:r w:rsidRPr="00D637FF">
        <w:rPr>
          <w:rFonts w:ascii="Times New Roman" w:hAnsi="Times New Roman"/>
        </w:rPr>
        <w:t>Hakan</w:t>
      </w:r>
      <w:proofErr w:type="spellEnd"/>
      <w:r w:rsidRPr="00D637FF">
        <w:rPr>
          <w:rFonts w:ascii="Times New Roman" w:hAnsi="Times New Roman"/>
        </w:rPr>
        <w:t xml:space="preserve"> </w:t>
      </w:r>
      <w:proofErr w:type="spellStart"/>
      <w:r w:rsidRPr="00D637FF">
        <w:rPr>
          <w:rFonts w:ascii="Times New Roman" w:hAnsi="Times New Roman"/>
        </w:rPr>
        <w:t>Sahin</w:t>
      </w:r>
      <w:proofErr w:type="spellEnd"/>
      <w:r w:rsidRPr="00D637FF">
        <w:rPr>
          <w:rFonts w:ascii="Times New Roman" w:hAnsi="Times New Roman"/>
        </w:rPr>
        <w:t>, ‘</w:t>
      </w:r>
      <w:proofErr w:type="spellStart"/>
      <w:r w:rsidRPr="00D637FF">
        <w:rPr>
          <w:rFonts w:ascii="Times New Roman" w:hAnsi="Times New Roman"/>
        </w:rPr>
        <w:t>Cryptoassets</w:t>
      </w:r>
      <w:proofErr w:type="spellEnd"/>
      <w:r w:rsidRPr="00D637FF">
        <w:rPr>
          <w:rFonts w:ascii="Times New Roman" w:hAnsi="Times New Roman"/>
        </w:rPr>
        <w:t>, expectation gaps and consumer protection: The case of Türkiye’ (forthcoming).</w:t>
      </w:r>
    </w:p>
  </w:footnote>
  <w:footnote w:id="7">
    <w:p w14:paraId="1E81FCF8" w14:textId="77777777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Regulation of the European Parliament and of the Council on Markets in Crypto-assets COM/2020/593.</w:t>
      </w:r>
    </w:p>
  </w:footnote>
  <w:footnote w:id="8">
    <w:p w14:paraId="7BD28105" w14:textId="49B9CE34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Financial Conduct Authority, ‘</w:t>
      </w:r>
      <w:proofErr w:type="spellStart"/>
      <w:r w:rsidRPr="00D637FF">
        <w:rPr>
          <w:rFonts w:ascii="Times New Roman" w:hAnsi="Times New Roman"/>
        </w:rPr>
        <w:t>Cryptoassets</w:t>
      </w:r>
      <w:proofErr w:type="spellEnd"/>
      <w:r w:rsidRPr="00D637FF">
        <w:rPr>
          <w:rFonts w:ascii="Times New Roman" w:hAnsi="Times New Roman"/>
        </w:rPr>
        <w:t>’,</w:t>
      </w:r>
      <w:r w:rsidR="00D637FF" w:rsidRPr="00D637FF">
        <w:rPr>
          <w:rFonts w:ascii="Times New Roman" w:hAnsi="Times New Roman"/>
        </w:rPr>
        <w:t xml:space="preserve"> available at:</w:t>
      </w:r>
      <w:r w:rsidRPr="00D637FF">
        <w:rPr>
          <w:rFonts w:ascii="Times New Roman" w:hAnsi="Times New Roman"/>
        </w:rPr>
        <w:t xml:space="preserve"> </w:t>
      </w:r>
      <w:r w:rsidR="00D637FF" w:rsidRPr="00D637FF">
        <w:rPr>
          <w:rFonts w:ascii="Times New Roman" w:hAnsi="Times New Roman"/>
        </w:rPr>
        <w:t>&lt;</w:t>
      </w:r>
      <w:hyperlink r:id="rId5" w:history="1">
        <w:r w:rsidR="00D637FF" w:rsidRPr="00D637FF">
          <w:rPr>
            <w:rStyle w:val="Hyperlink"/>
            <w:rFonts w:ascii="Times New Roman" w:hAnsi="Times New Roman"/>
            <w:color w:val="auto"/>
            <w:u w:val="none"/>
          </w:rPr>
          <w:t>https://www.fca.org.uk/firms/cryptoassets-information</w:t>
        </w:r>
      </w:hyperlink>
      <w:r w:rsidR="00D637FF" w:rsidRPr="00D637FF">
        <w:rPr>
          <w:rFonts w:ascii="Times New Roman" w:hAnsi="Times New Roman"/>
        </w:rPr>
        <w:t>&gt;</w:t>
      </w:r>
      <w:r w:rsidRPr="00D637FF">
        <w:rPr>
          <w:rFonts w:ascii="Times New Roman" w:hAnsi="Times New Roman"/>
        </w:rPr>
        <w:t>.</w:t>
      </w:r>
    </w:p>
  </w:footnote>
  <w:footnote w:id="9">
    <w:p w14:paraId="55AC8F3B" w14:textId="351F063E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For an overview</w:t>
      </w:r>
      <w:r w:rsidR="00D637FF" w:rsidRPr="00D637FF">
        <w:rPr>
          <w:rFonts w:ascii="Times New Roman" w:hAnsi="Times New Roman"/>
        </w:rPr>
        <w:t>,</w:t>
      </w:r>
      <w:r w:rsidRPr="00D637FF">
        <w:rPr>
          <w:rFonts w:ascii="Times New Roman" w:hAnsi="Times New Roman"/>
        </w:rPr>
        <w:t xml:space="preserve"> see Osborne Clarke, ‘Singapore's regulators set pace for blockchain and fintech 'ecosystem' advances’</w:t>
      </w:r>
      <w:r w:rsidR="00D637FF" w:rsidRPr="00D637FF">
        <w:rPr>
          <w:rFonts w:ascii="Times New Roman" w:hAnsi="Times New Roman"/>
        </w:rPr>
        <w:t xml:space="preserve"> (17 October 2024), available at:</w:t>
      </w:r>
      <w:r w:rsidRPr="00D637FF">
        <w:rPr>
          <w:rFonts w:ascii="Times New Roman" w:hAnsi="Times New Roman"/>
        </w:rPr>
        <w:t xml:space="preserve"> </w:t>
      </w:r>
      <w:r w:rsidR="00D637FF" w:rsidRPr="00D637FF">
        <w:rPr>
          <w:rFonts w:ascii="Times New Roman" w:hAnsi="Times New Roman"/>
        </w:rPr>
        <w:t>&lt;</w:t>
      </w:r>
      <w:hyperlink r:id="rId6" w:history="1">
        <w:r w:rsidR="00D637FF" w:rsidRPr="00D637FF">
          <w:rPr>
            <w:rStyle w:val="Hyperlink"/>
            <w:rFonts w:ascii="Times New Roman" w:hAnsi="Times New Roman"/>
            <w:color w:val="auto"/>
            <w:u w:val="none"/>
          </w:rPr>
          <w:t>https://www.osborneclarke.com/insights/singapores-regulators-set-pace-blockchain-and-fintech-ecosystem-advances</w:t>
        </w:r>
      </w:hyperlink>
      <w:r w:rsidR="00D637FF" w:rsidRPr="00D637FF">
        <w:rPr>
          <w:rFonts w:ascii="Times New Roman" w:hAnsi="Times New Roman"/>
        </w:rPr>
        <w:t>&gt;</w:t>
      </w:r>
      <w:r w:rsidRPr="00D637FF">
        <w:rPr>
          <w:rFonts w:ascii="Times New Roman" w:hAnsi="Times New Roman"/>
        </w:rPr>
        <w:t>.</w:t>
      </w:r>
    </w:p>
  </w:footnote>
  <w:footnote w:id="10">
    <w:p w14:paraId="6B69A84E" w14:textId="77777777" w:rsidR="00D637FF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See UNIDROIT, ‘Digital Assets and Private Law’,</w:t>
      </w:r>
      <w:r w:rsidR="00D637FF" w:rsidRPr="00D637FF">
        <w:rPr>
          <w:rFonts w:ascii="Times New Roman" w:hAnsi="Times New Roman"/>
        </w:rPr>
        <w:t xml:space="preserve"> available at:</w:t>
      </w:r>
      <w:r w:rsidRPr="00D637FF">
        <w:rPr>
          <w:rFonts w:ascii="Times New Roman" w:hAnsi="Times New Roman"/>
        </w:rPr>
        <w:t xml:space="preserve"> </w:t>
      </w:r>
    </w:p>
    <w:p w14:paraId="57FFB25C" w14:textId="48F1DD70" w:rsidR="000F0420" w:rsidRPr="00D637FF" w:rsidRDefault="00D637FF" w:rsidP="000F0420">
      <w:pPr>
        <w:pStyle w:val="FootnoteText"/>
        <w:rPr>
          <w:rFonts w:ascii="Times New Roman" w:hAnsi="Times New Roman"/>
        </w:rPr>
      </w:pPr>
      <w:r w:rsidRPr="00D637FF">
        <w:rPr>
          <w:rFonts w:ascii="Times New Roman" w:hAnsi="Times New Roman"/>
        </w:rPr>
        <w:t>&lt;</w:t>
      </w:r>
      <w:hyperlink r:id="rId7" w:history="1">
        <w:r w:rsidRPr="00D637FF">
          <w:rPr>
            <w:rStyle w:val="Hyperlink"/>
            <w:rFonts w:ascii="Times New Roman" w:hAnsi="Times New Roman"/>
            <w:color w:val="auto"/>
            <w:u w:val="none"/>
          </w:rPr>
          <w:t>https://www.unidroit.org/work-in-progress/digital-assets-and-private-law/</w:t>
        </w:r>
      </w:hyperlink>
      <w:r w:rsidRPr="00D637FF">
        <w:rPr>
          <w:rFonts w:ascii="Times New Roman" w:hAnsi="Times New Roman"/>
        </w:rPr>
        <w:t>&gt;</w:t>
      </w:r>
      <w:r w:rsidR="000F0420" w:rsidRPr="00D637FF">
        <w:rPr>
          <w:rFonts w:ascii="Times New Roman" w:hAnsi="Times New Roman"/>
        </w:rPr>
        <w:t>.</w:t>
      </w:r>
    </w:p>
  </w:footnote>
  <w:footnote w:id="11">
    <w:p w14:paraId="0089A1E4" w14:textId="77777777" w:rsidR="00D637FF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UKJT Legal Statement on Digital Assets and English Insolvency Law, available </w:t>
      </w:r>
      <w:r w:rsidR="00D637FF" w:rsidRPr="00D637FF">
        <w:rPr>
          <w:rFonts w:ascii="Times New Roman" w:hAnsi="Times New Roman"/>
        </w:rPr>
        <w:t>at:</w:t>
      </w:r>
    </w:p>
    <w:p w14:paraId="076A4ACB" w14:textId="6770DFC0" w:rsidR="000F0420" w:rsidRPr="00D637FF" w:rsidRDefault="00D637FF" w:rsidP="000F0420">
      <w:pPr>
        <w:pStyle w:val="FootnoteText"/>
        <w:rPr>
          <w:rFonts w:ascii="Times New Roman" w:hAnsi="Times New Roman"/>
        </w:rPr>
      </w:pPr>
      <w:r w:rsidRPr="00D637FF">
        <w:rPr>
          <w:rFonts w:ascii="Times New Roman" w:hAnsi="Times New Roman"/>
        </w:rPr>
        <w:t>&lt;</w:t>
      </w:r>
      <w:hyperlink r:id="rId8" w:history="1">
        <w:r w:rsidR="000F0420" w:rsidRPr="00D637FF">
          <w:rPr>
            <w:rStyle w:val="Hyperlink"/>
            <w:rFonts w:ascii="Times New Roman" w:hAnsi="Times New Roman"/>
            <w:color w:val="auto"/>
            <w:u w:val="none"/>
          </w:rPr>
          <w:t>https://lawtechuk.io/our-reports/</w:t>
        </w:r>
      </w:hyperlink>
      <w:r w:rsidRPr="00D637FF">
        <w:rPr>
          <w:rFonts w:ascii="Times New Roman" w:hAnsi="Times New Roman"/>
        </w:rPr>
        <w:t>&gt;</w:t>
      </w:r>
      <w:r w:rsidR="000F0420" w:rsidRPr="00D637FF">
        <w:rPr>
          <w:rFonts w:ascii="Times New Roman" w:hAnsi="Times New Roman"/>
        </w:rPr>
        <w:t>.</w:t>
      </w:r>
    </w:p>
  </w:footnote>
  <w:footnote w:id="12">
    <w:p w14:paraId="13C3F948" w14:textId="77777777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This was a finding of our study that will be discussed in a forthcoming longer article.</w:t>
      </w:r>
    </w:p>
  </w:footnote>
  <w:footnote w:id="13">
    <w:p w14:paraId="603F0716" w14:textId="65E8D903" w:rsidR="000F0420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</w:t>
      </w:r>
      <w:r w:rsidR="00D637FF" w:rsidRPr="00D637FF">
        <w:rPr>
          <w:rFonts w:ascii="Times New Roman" w:hAnsi="Times New Roman"/>
        </w:rPr>
        <w:t xml:space="preserve">See </w:t>
      </w:r>
      <w:r w:rsidRPr="00D637FF">
        <w:rPr>
          <w:rFonts w:ascii="Times New Roman" w:hAnsi="Times New Roman"/>
        </w:rPr>
        <w:t>Kokorin</w:t>
      </w:r>
      <w:r w:rsidR="00D637FF" w:rsidRPr="00D637FF">
        <w:rPr>
          <w:rFonts w:ascii="Times New Roman" w:hAnsi="Times New Roman"/>
        </w:rPr>
        <w:t xml:space="preserve"> (above note 3)</w:t>
      </w:r>
      <w:r w:rsidRPr="00D637FF">
        <w:rPr>
          <w:rFonts w:ascii="Times New Roman" w:hAnsi="Times New Roman"/>
        </w:rPr>
        <w:t xml:space="preserve">; Matthias </w:t>
      </w:r>
      <w:proofErr w:type="spellStart"/>
      <w:r w:rsidRPr="00D637FF">
        <w:rPr>
          <w:rFonts w:ascii="Times New Roman" w:hAnsi="Times New Roman"/>
        </w:rPr>
        <w:t>Haentjens</w:t>
      </w:r>
      <w:proofErr w:type="spellEnd"/>
      <w:r w:rsidRPr="00D637FF">
        <w:rPr>
          <w:rFonts w:ascii="Times New Roman" w:hAnsi="Times New Roman"/>
        </w:rPr>
        <w:t xml:space="preserve">, Tycho De Graaf and Ilya Kokorin, ‘The Failed Hopes of Disintermediation: Crypto-Custodian Insolvency, Legal Risks and How to Avoid Them’ [2020] </w:t>
      </w:r>
      <w:r w:rsidRPr="00D637FF">
        <w:rPr>
          <w:rFonts w:ascii="Times New Roman" w:hAnsi="Times New Roman"/>
          <w:i/>
          <w:iCs/>
        </w:rPr>
        <w:t>Singapore Journal of Legal Studies</w:t>
      </w:r>
      <w:r w:rsidRPr="00D637FF">
        <w:rPr>
          <w:rFonts w:ascii="Times New Roman" w:hAnsi="Times New Roman"/>
        </w:rPr>
        <w:t xml:space="preserve"> 526-563; </w:t>
      </w:r>
      <w:proofErr w:type="spellStart"/>
      <w:r w:rsidRPr="00D637FF">
        <w:rPr>
          <w:rFonts w:ascii="Times New Roman" w:hAnsi="Times New Roman"/>
        </w:rPr>
        <w:t>Zetzsche</w:t>
      </w:r>
      <w:proofErr w:type="spellEnd"/>
      <w:r w:rsidRPr="00D637FF">
        <w:rPr>
          <w:rFonts w:ascii="Times New Roman" w:hAnsi="Times New Roman"/>
        </w:rPr>
        <w:t xml:space="preserve"> and </w:t>
      </w:r>
      <w:proofErr w:type="spellStart"/>
      <w:r w:rsidRPr="00D637FF">
        <w:rPr>
          <w:rFonts w:ascii="Times New Roman" w:hAnsi="Times New Roman"/>
        </w:rPr>
        <w:t>Nikolakopoulou</w:t>
      </w:r>
      <w:proofErr w:type="spellEnd"/>
      <w:r w:rsidR="00D637FF" w:rsidRPr="00D637FF">
        <w:rPr>
          <w:rFonts w:ascii="Times New Roman" w:hAnsi="Times New Roman"/>
        </w:rPr>
        <w:t xml:space="preserve"> (above note 3)</w:t>
      </w:r>
      <w:r w:rsidRPr="00D637FF">
        <w:rPr>
          <w:rFonts w:ascii="Times New Roman" w:hAnsi="Times New Roman"/>
        </w:rPr>
        <w:t>.</w:t>
      </w:r>
    </w:p>
  </w:footnote>
  <w:footnote w:id="14">
    <w:p w14:paraId="13CBED1B" w14:textId="77777777" w:rsidR="00D637FF" w:rsidRPr="00D637FF" w:rsidRDefault="000F0420" w:rsidP="000F0420">
      <w:pPr>
        <w:pStyle w:val="FootnoteText"/>
        <w:rPr>
          <w:rFonts w:ascii="Times New Roman" w:hAnsi="Times New Roman"/>
        </w:rPr>
      </w:pPr>
      <w:r w:rsidRPr="00D637FF">
        <w:rPr>
          <w:rStyle w:val="FootnoteReference"/>
          <w:rFonts w:ascii="Times New Roman" w:hAnsi="Times New Roman"/>
        </w:rPr>
        <w:footnoteRef/>
      </w:r>
      <w:r w:rsidRPr="00D637FF">
        <w:rPr>
          <w:rFonts w:ascii="Times New Roman" w:hAnsi="Times New Roman"/>
        </w:rPr>
        <w:t xml:space="preserve"> As suggested by Anthony Casey, Aurelio </w:t>
      </w:r>
      <w:proofErr w:type="spellStart"/>
      <w:r w:rsidRPr="00D637FF">
        <w:rPr>
          <w:rFonts w:ascii="Times New Roman" w:hAnsi="Times New Roman"/>
        </w:rPr>
        <w:t>Gurrea</w:t>
      </w:r>
      <w:proofErr w:type="spellEnd"/>
      <w:r w:rsidRPr="00D637FF">
        <w:rPr>
          <w:rFonts w:ascii="Times New Roman" w:hAnsi="Times New Roman"/>
        </w:rPr>
        <w:t>-Martínez and Robert Rasmussen, ‘A Commitment Rule for Insolvency Forum’ (</w:t>
      </w:r>
      <w:r w:rsidR="00D637FF" w:rsidRPr="00D637FF">
        <w:rPr>
          <w:rFonts w:ascii="Times New Roman" w:hAnsi="Times New Roman"/>
        </w:rPr>
        <w:t xml:space="preserve">23 </w:t>
      </w:r>
      <w:r w:rsidRPr="00D637FF">
        <w:rPr>
          <w:rFonts w:ascii="Times New Roman" w:hAnsi="Times New Roman"/>
        </w:rPr>
        <w:t xml:space="preserve">January 2024) </w:t>
      </w:r>
      <w:r w:rsidR="00D637FF" w:rsidRPr="00D637FF">
        <w:rPr>
          <w:rFonts w:ascii="Times New Roman" w:hAnsi="Times New Roman"/>
        </w:rPr>
        <w:t>(</w:t>
      </w:r>
      <w:r w:rsidRPr="00D637FF">
        <w:rPr>
          <w:rFonts w:ascii="Times New Roman" w:hAnsi="Times New Roman"/>
        </w:rPr>
        <w:t>European Corporate Governance Institute - Law Working Paper No. 754/2024</w:t>
      </w:r>
      <w:r w:rsidR="00D637FF" w:rsidRPr="00D637FF">
        <w:rPr>
          <w:rFonts w:ascii="Times New Roman" w:hAnsi="Times New Roman"/>
        </w:rPr>
        <w:t>)</w:t>
      </w:r>
      <w:r w:rsidRPr="00D637FF">
        <w:rPr>
          <w:rFonts w:ascii="Times New Roman" w:hAnsi="Times New Roman"/>
        </w:rPr>
        <w:t xml:space="preserve">, </w:t>
      </w:r>
      <w:r w:rsidR="00D637FF" w:rsidRPr="00D637FF">
        <w:rPr>
          <w:rFonts w:ascii="Times New Roman" w:hAnsi="Times New Roman"/>
        </w:rPr>
        <w:t>a</w:t>
      </w:r>
      <w:r w:rsidRPr="00D637FF">
        <w:rPr>
          <w:rFonts w:ascii="Times New Roman" w:hAnsi="Times New Roman"/>
        </w:rPr>
        <w:t xml:space="preserve">vailable </w:t>
      </w:r>
      <w:r w:rsidR="00D637FF" w:rsidRPr="00D637FF">
        <w:rPr>
          <w:rFonts w:ascii="Times New Roman" w:hAnsi="Times New Roman"/>
        </w:rPr>
        <w:t xml:space="preserve">via </w:t>
      </w:r>
      <w:r w:rsidRPr="00D637FF">
        <w:rPr>
          <w:rFonts w:ascii="Times New Roman" w:hAnsi="Times New Roman"/>
        </w:rPr>
        <w:t>SSRN</w:t>
      </w:r>
      <w:r w:rsidR="00D637FF" w:rsidRPr="00D637FF">
        <w:rPr>
          <w:rFonts w:ascii="Times New Roman" w:hAnsi="Times New Roman"/>
        </w:rPr>
        <w:t xml:space="preserve"> at</w:t>
      </w:r>
      <w:r w:rsidRPr="00D637FF">
        <w:rPr>
          <w:rFonts w:ascii="Times New Roman" w:hAnsi="Times New Roman"/>
        </w:rPr>
        <w:t>:</w:t>
      </w:r>
      <w:r w:rsidR="00D637FF" w:rsidRPr="00D637FF">
        <w:rPr>
          <w:rFonts w:ascii="Times New Roman" w:hAnsi="Times New Roman"/>
        </w:rPr>
        <w:t xml:space="preserve"> &lt;</w:t>
      </w:r>
      <w:hyperlink r:id="rId9" w:tgtFrame="_blank" w:history="1">
        <w:r w:rsidRPr="00D637FF">
          <w:rPr>
            <w:rFonts w:ascii="Times New Roman" w:hAnsi="Times New Roman"/>
          </w:rPr>
          <w:t>https://ssrn.com/abstract=4704029</w:t>
        </w:r>
      </w:hyperlink>
      <w:r w:rsidR="00D637FF" w:rsidRPr="00D637FF">
        <w:rPr>
          <w:rFonts w:ascii="Times New Roman" w:hAnsi="Times New Roman"/>
        </w:rPr>
        <w:t>&gt;;</w:t>
      </w:r>
    </w:p>
    <w:p w14:paraId="6CFFBF37" w14:textId="1153EDCB" w:rsidR="000F0420" w:rsidRPr="00D637FF" w:rsidRDefault="00D637FF" w:rsidP="000F0420">
      <w:pPr>
        <w:pStyle w:val="FootnoteText"/>
        <w:rPr>
          <w:rFonts w:ascii="Times New Roman" w:hAnsi="Times New Roman"/>
        </w:rPr>
      </w:pPr>
      <w:r w:rsidRPr="00D637FF">
        <w:rPr>
          <w:rFonts w:ascii="Times New Roman" w:hAnsi="Times New Roman"/>
        </w:rPr>
        <w:t>&lt;</w:t>
      </w:r>
      <w:hyperlink r:id="rId10" w:tgtFrame="_blank" w:history="1">
        <w:r w:rsidR="000F0420" w:rsidRPr="00D637FF">
          <w:rPr>
            <w:rFonts w:ascii="Times New Roman" w:hAnsi="Times New Roman"/>
          </w:rPr>
          <w:t>http://dx.doi.org/10.2139/ssrn.4704029</w:t>
        </w:r>
      </w:hyperlink>
      <w:r w:rsidRPr="00D637FF">
        <w:rPr>
          <w:rFonts w:ascii="Times New Roman" w:hAnsi="Times New Roman"/>
        </w:rPr>
        <w:t>&gt;</w:t>
      </w:r>
      <w:r w:rsidR="000F0420" w:rsidRPr="00D637FF">
        <w:rPr>
          <w:rFonts w:ascii="Times New Roman" w:hAnsi="Times New Roman"/>
        </w:rPr>
        <w:t>.</w:t>
      </w:r>
    </w:p>
  </w:footnote>
  <w:footnote w:id="15">
    <w:p w14:paraId="2A579439" w14:textId="2D54E74C" w:rsidR="000F0420" w:rsidRPr="000F0420" w:rsidRDefault="000F0420" w:rsidP="000F0420">
      <w:pPr>
        <w:pStyle w:val="FootnoteText"/>
        <w:rPr>
          <w:rFonts w:ascii="Times New Roman" w:hAnsi="Times New Roman"/>
        </w:rPr>
      </w:pPr>
      <w:r w:rsidRPr="000F0420">
        <w:rPr>
          <w:rStyle w:val="FootnoteReference"/>
          <w:rFonts w:ascii="Times New Roman" w:hAnsi="Times New Roman"/>
        </w:rPr>
        <w:footnoteRef/>
      </w:r>
      <w:r w:rsidRPr="000F0420">
        <w:rPr>
          <w:rFonts w:ascii="Times New Roman" w:hAnsi="Times New Roman"/>
        </w:rPr>
        <w:t xml:space="preserve"> </w:t>
      </w:r>
      <w:proofErr w:type="spellStart"/>
      <w:r w:rsidRPr="000F0420">
        <w:rPr>
          <w:rFonts w:ascii="Times New Roman" w:hAnsi="Times New Roman"/>
        </w:rPr>
        <w:t>Zetzsche</w:t>
      </w:r>
      <w:proofErr w:type="spellEnd"/>
      <w:r w:rsidRPr="000F0420">
        <w:rPr>
          <w:rFonts w:ascii="Times New Roman" w:hAnsi="Times New Roman"/>
        </w:rPr>
        <w:t xml:space="preserve"> and </w:t>
      </w:r>
      <w:proofErr w:type="spellStart"/>
      <w:r w:rsidRPr="000F0420">
        <w:rPr>
          <w:rFonts w:ascii="Times New Roman" w:hAnsi="Times New Roman"/>
        </w:rPr>
        <w:t>Nikolakopoulou</w:t>
      </w:r>
      <w:proofErr w:type="spellEnd"/>
      <w:r w:rsidR="00D637FF">
        <w:rPr>
          <w:rFonts w:ascii="Times New Roman" w:hAnsi="Times New Roman"/>
        </w:rPr>
        <w:t xml:space="preserve"> (above note 3)</w:t>
      </w:r>
      <w:r w:rsidRPr="000F0420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C893" w14:textId="6963A643" w:rsidR="00D90E9D" w:rsidRDefault="00BF3D3E" w:rsidP="00D90E9D">
    <w:pPr>
      <w:pStyle w:val="Header"/>
      <w:spacing w:after="0"/>
      <w:rPr>
        <w:rFonts w:ascii="Arial" w:hAnsi="Arial" w:cs="Arial"/>
        <w:b/>
        <w:sz w:val="20"/>
      </w:rPr>
    </w:pPr>
    <w:r w:rsidRPr="002331CA">
      <w:rPr>
        <w:rFonts w:ascii="Arial" w:hAnsi="Arial" w:cs="Arial"/>
        <w:b/>
        <w:sz w:val="20"/>
      </w:rPr>
      <w:t>Inside Story (</w:t>
    </w:r>
    <w:r w:rsidR="000F0420">
      <w:rPr>
        <w:rFonts w:ascii="Arial" w:hAnsi="Arial" w:cs="Arial"/>
        <w:b/>
        <w:sz w:val="20"/>
      </w:rPr>
      <w:t>April</w:t>
    </w:r>
    <w:r w:rsidR="002A5779" w:rsidRPr="002331CA">
      <w:rPr>
        <w:rFonts w:ascii="Arial" w:hAnsi="Arial" w:cs="Arial"/>
        <w:b/>
        <w:sz w:val="20"/>
      </w:rPr>
      <w:t xml:space="preserve"> 20</w:t>
    </w:r>
    <w:r w:rsidR="00087612" w:rsidRPr="002331CA">
      <w:rPr>
        <w:rFonts w:ascii="Arial" w:hAnsi="Arial" w:cs="Arial"/>
        <w:b/>
        <w:sz w:val="20"/>
      </w:rPr>
      <w:t>2</w:t>
    </w:r>
    <w:r w:rsidR="00D10A38">
      <w:rPr>
        <w:rFonts w:ascii="Arial" w:hAnsi="Arial" w:cs="Arial"/>
        <w:b/>
        <w:sz w:val="20"/>
      </w:rPr>
      <w:t>5</w:t>
    </w:r>
    <w:r w:rsidR="00D90E9D">
      <w:rPr>
        <w:rFonts w:ascii="Arial" w:hAnsi="Arial" w:cs="Arial"/>
        <w:b/>
        <w:sz w:val="20"/>
      </w:rPr>
      <w:t>)</w:t>
    </w:r>
  </w:p>
  <w:p w14:paraId="0F2C5C5A" w14:textId="300D4A7A" w:rsidR="00BF3D3E" w:rsidRPr="0011226B" w:rsidRDefault="000F0420" w:rsidP="00D90E9D">
    <w:pPr>
      <w:pStyle w:val="Header"/>
      <w:spacing w:after="0"/>
      <w:rPr>
        <w:rFonts w:ascii="Arial" w:hAnsi="Arial" w:cs="Arial"/>
        <w:b/>
        <w:sz w:val="20"/>
        <w:lang w:val="fr-FR"/>
      </w:rPr>
    </w:pPr>
    <w:r>
      <w:rPr>
        <w:rFonts w:ascii="Arial" w:hAnsi="Arial" w:cs="Arial"/>
        <w:b/>
        <w:sz w:val="20"/>
      </w:rPr>
      <w:t xml:space="preserve">Rebecca Parry </w:t>
    </w:r>
    <w:r w:rsidR="00640EFC" w:rsidRPr="0011226B">
      <w:rPr>
        <w:rFonts w:ascii="Arial" w:hAnsi="Arial" w:cs="Arial"/>
        <w:b/>
        <w:sz w:val="20"/>
        <w:lang w:val="fr-FR"/>
      </w:rPr>
      <w:t>(</w:t>
    </w:r>
    <w:r>
      <w:rPr>
        <w:rFonts w:ascii="Arial" w:hAnsi="Arial" w:cs="Arial"/>
        <w:b/>
        <w:sz w:val="20"/>
        <w:lang w:val="fr-FR"/>
      </w:rPr>
      <w:t>EU and International</w:t>
    </w:r>
    <w:r w:rsidR="00BF3D3E" w:rsidRPr="0011226B">
      <w:rPr>
        <w:rFonts w:ascii="Arial" w:hAnsi="Arial" w:cs="Arial"/>
        <w:b/>
        <w:sz w:val="20"/>
        <w:lang w:val="fr-F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9A6"/>
    <w:multiLevelType w:val="hybridMultilevel"/>
    <w:tmpl w:val="53124C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F6E"/>
    <w:multiLevelType w:val="hybridMultilevel"/>
    <w:tmpl w:val="75E6650C"/>
    <w:lvl w:ilvl="0" w:tplc="86027A48">
      <w:start w:val="1"/>
      <w:numFmt w:val="decimal"/>
      <w:pStyle w:val="AgreementParties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03051"/>
    <w:multiLevelType w:val="multilevel"/>
    <w:tmpl w:val="5986DCBC"/>
    <w:lvl w:ilvl="0">
      <w:start w:val="1"/>
      <w:numFmt w:val="decimal"/>
      <w:pStyle w:val="ScheduleClauses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041"/>
        </w:tabs>
        <w:ind w:left="204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608"/>
        </w:tabs>
        <w:ind w:left="260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3" w15:restartNumberingAfterBreak="0">
    <w:nsid w:val="29E165EB"/>
    <w:multiLevelType w:val="multilevel"/>
    <w:tmpl w:val="6A966230"/>
    <w:lvl w:ilvl="0">
      <w:start w:val="1"/>
      <w:numFmt w:val="decimal"/>
      <w:pStyle w:val="AgreementHeading1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0000"/>
        <w:sz w:val="21"/>
        <w:szCs w:val="22"/>
        <w:vertAlign w:val="baseline"/>
      </w:rPr>
    </w:lvl>
    <w:lvl w:ilvl="1">
      <w:start w:val="1"/>
      <w:numFmt w:val="decimal"/>
      <w:pStyle w:val="Agreement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pStyle w:val="AgreementHeading3"/>
      <w:lvlText w:val="%1.%2.%3"/>
      <w:lvlJc w:val="left"/>
      <w:pPr>
        <w:tabs>
          <w:tab w:val="num" w:pos="1474"/>
        </w:tabs>
        <w:ind w:left="1474" w:hanging="7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3">
      <w:start w:val="1"/>
      <w:numFmt w:val="lowerLetter"/>
      <w:pStyle w:val="AgreementHeading4"/>
      <w:lvlText w:val="(%4)"/>
      <w:lvlJc w:val="left"/>
      <w:pPr>
        <w:tabs>
          <w:tab w:val="num" w:pos="2041"/>
        </w:tabs>
        <w:ind w:left="204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4">
      <w:start w:val="1"/>
      <w:numFmt w:val="lowerRoman"/>
      <w:pStyle w:val="AgreementHeading5"/>
      <w:lvlText w:val="(%5)"/>
      <w:lvlJc w:val="left"/>
      <w:pPr>
        <w:tabs>
          <w:tab w:val="num" w:pos="2608"/>
        </w:tabs>
        <w:ind w:left="260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4" w15:restartNumberingAfterBreak="0">
    <w:nsid w:val="40E565FB"/>
    <w:multiLevelType w:val="hybridMultilevel"/>
    <w:tmpl w:val="4D7CF8E6"/>
    <w:lvl w:ilvl="0" w:tplc="B91840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F0F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 w15:restartNumberingAfterBreak="0">
    <w:nsid w:val="5C5730A6"/>
    <w:multiLevelType w:val="multilevel"/>
    <w:tmpl w:val="1B6A0F2A"/>
    <w:lvl w:ilvl="0">
      <w:start w:val="1"/>
      <w:numFmt w:val="bullet"/>
      <w:pStyle w:val="DP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DPBullet1"/>
      <w:lvlText w:val="−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PBullet2"/>
      <w:lvlText w:val="−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2A1ADF"/>
    <w:multiLevelType w:val="hybridMultilevel"/>
    <w:tmpl w:val="4A561FE0"/>
    <w:lvl w:ilvl="0" w:tplc="6BF2A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76D96"/>
    <w:multiLevelType w:val="hybridMultilevel"/>
    <w:tmpl w:val="B7724600"/>
    <w:lvl w:ilvl="0" w:tplc="0F82336A">
      <w:start w:val="1"/>
      <w:numFmt w:val="upperLetter"/>
      <w:pStyle w:val="AgreementRecital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01C5A"/>
    <w:rsid w:val="000033DF"/>
    <w:rsid w:val="00065DA6"/>
    <w:rsid w:val="00086E49"/>
    <w:rsid w:val="00087612"/>
    <w:rsid w:val="000921F0"/>
    <w:rsid w:val="00092307"/>
    <w:rsid w:val="000B09D3"/>
    <w:rsid w:val="000C398A"/>
    <w:rsid w:val="000C4532"/>
    <w:rsid w:val="000C7620"/>
    <w:rsid w:val="000D3C8B"/>
    <w:rsid w:val="000F0420"/>
    <w:rsid w:val="00104015"/>
    <w:rsid w:val="0011181C"/>
    <w:rsid w:val="0011226B"/>
    <w:rsid w:val="001258A8"/>
    <w:rsid w:val="00127C4A"/>
    <w:rsid w:val="00141375"/>
    <w:rsid w:val="00145356"/>
    <w:rsid w:val="0016531A"/>
    <w:rsid w:val="00167198"/>
    <w:rsid w:val="001835B2"/>
    <w:rsid w:val="00183674"/>
    <w:rsid w:val="001934CC"/>
    <w:rsid w:val="001A713B"/>
    <w:rsid w:val="001A72DC"/>
    <w:rsid w:val="001B1AA8"/>
    <w:rsid w:val="001C5080"/>
    <w:rsid w:val="001D3A90"/>
    <w:rsid w:val="001E7A6F"/>
    <w:rsid w:val="001F119D"/>
    <w:rsid w:val="0020085B"/>
    <w:rsid w:val="00222353"/>
    <w:rsid w:val="002331CA"/>
    <w:rsid w:val="00247BAC"/>
    <w:rsid w:val="002756AD"/>
    <w:rsid w:val="00276632"/>
    <w:rsid w:val="00280030"/>
    <w:rsid w:val="00284601"/>
    <w:rsid w:val="002A4C95"/>
    <w:rsid w:val="002A5779"/>
    <w:rsid w:val="002A5C92"/>
    <w:rsid w:val="002E09E9"/>
    <w:rsid w:val="002F54CA"/>
    <w:rsid w:val="003021B6"/>
    <w:rsid w:val="003217E3"/>
    <w:rsid w:val="0032563F"/>
    <w:rsid w:val="003267D1"/>
    <w:rsid w:val="00340FF0"/>
    <w:rsid w:val="003441B9"/>
    <w:rsid w:val="00346B26"/>
    <w:rsid w:val="003518FD"/>
    <w:rsid w:val="00355F21"/>
    <w:rsid w:val="003666A0"/>
    <w:rsid w:val="00367985"/>
    <w:rsid w:val="00372D4C"/>
    <w:rsid w:val="00380748"/>
    <w:rsid w:val="0039013D"/>
    <w:rsid w:val="00395D89"/>
    <w:rsid w:val="00396E5A"/>
    <w:rsid w:val="003978ED"/>
    <w:rsid w:val="003B0263"/>
    <w:rsid w:val="003C284E"/>
    <w:rsid w:val="003C338F"/>
    <w:rsid w:val="003C69AB"/>
    <w:rsid w:val="00404D9A"/>
    <w:rsid w:val="004131ED"/>
    <w:rsid w:val="00415AEE"/>
    <w:rsid w:val="00415DDB"/>
    <w:rsid w:val="00424A47"/>
    <w:rsid w:val="004356E2"/>
    <w:rsid w:val="00437BFE"/>
    <w:rsid w:val="004408B0"/>
    <w:rsid w:val="00440CF8"/>
    <w:rsid w:val="004433C5"/>
    <w:rsid w:val="00470254"/>
    <w:rsid w:val="0047439B"/>
    <w:rsid w:val="00484F6D"/>
    <w:rsid w:val="00492065"/>
    <w:rsid w:val="004B3FED"/>
    <w:rsid w:val="004D1D7E"/>
    <w:rsid w:val="004F1265"/>
    <w:rsid w:val="004F57B8"/>
    <w:rsid w:val="00535342"/>
    <w:rsid w:val="00540D53"/>
    <w:rsid w:val="00557280"/>
    <w:rsid w:val="00557A0F"/>
    <w:rsid w:val="005649F9"/>
    <w:rsid w:val="00565029"/>
    <w:rsid w:val="00573EFA"/>
    <w:rsid w:val="005764A7"/>
    <w:rsid w:val="00577785"/>
    <w:rsid w:val="00581DAF"/>
    <w:rsid w:val="00593E77"/>
    <w:rsid w:val="0059441E"/>
    <w:rsid w:val="005D6C09"/>
    <w:rsid w:val="005D783E"/>
    <w:rsid w:val="005D79E3"/>
    <w:rsid w:val="005E270C"/>
    <w:rsid w:val="005E7C6B"/>
    <w:rsid w:val="00603657"/>
    <w:rsid w:val="00617533"/>
    <w:rsid w:val="00623598"/>
    <w:rsid w:val="00631F24"/>
    <w:rsid w:val="00640EFC"/>
    <w:rsid w:val="006441B0"/>
    <w:rsid w:val="00657FC0"/>
    <w:rsid w:val="00674D11"/>
    <w:rsid w:val="00694350"/>
    <w:rsid w:val="006945CB"/>
    <w:rsid w:val="006B7ABD"/>
    <w:rsid w:val="006D0A86"/>
    <w:rsid w:val="006E7E8D"/>
    <w:rsid w:val="00703D03"/>
    <w:rsid w:val="00707113"/>
    <w:rsid w:val="007203F3"/>
    <w:rsid w:val="00740F50"/>
    <w:rsid w:val="00752792"/>
    <w:rsid w:val="00753FB5"/>
    <w:rsid w:val="00772427"/>
    <w:rsid w:val="00772DFE"/>
    <w:rsid w:val="00782731"/>
    <w:rsid w:val="00785E77"/>
    <w:rsid w:val="00786CA6"/>
    <w:rsid w:val="00790DFB"/>
    <w:rsid w:val="007A0387"/>
    <w:rsid w:val="007C4484"/>
    <w:rsid w:val="007D39E7"/>
    <w:rsid w:val="007E1590"/>
    <w:rsid w:val="008034E6"/>
    <w:rsid w:val="00807744"/>
    <w:rsid w:val="00825991"/>
    <w:rsid w:val="008432D1"/>
    <w:rsid w:val="00847988"/>
    <w:rsid w:val="008506FC"/>
    <w:rsid w:val="008609CB"/>
    <w:rsid w:val="00867725"/>
    <w:rsid w:val="00872A8B"/>
    <w:rsid w:val="00876BCD"/>
    <w:rsid w:val="00877CBB"/>
    <w:rsid w:val="00886023"/>
    <w:rsid w:val="008979BB"/>
    <w:rsid w:val="008A229B"/>
    <w:rsid w:val="008B0583"/>
    <w:rsid w:val="008F3322"/>
    <w:rsid w:val="00900A95"/>
    <w:rsid w:val="009069C9"/>
    <w:rsid w:val="009224B4"/>
    <w:rsid w:val="00933B42"/>
    <w:rsid w:val="0093601D"/>
    <w:rsid w:val="009542ED"/>
    <w:rsid w:val="009656AB"/>
    <w:rsid w:val="00976F27"/>
    <w:rsid w:val="00977889"/>
    <w:rsid w:val="0098305D"/>
    <w:rsid w:val="00993C5F"/>
    <w:rsid w:val="00994086"/>
    <w:rsid w:val="009B447C"/>
    <w:rsid w:val="009B5E68"/>
    <w:rsid w:val="009D62BA"/>
    <w:rsid w:val="009E51C4"/>
    <w:rsid w:val="009F52F0"/>
    <w:rsid w:val="00A07FE0"/>
    <w:rsid w:val="00A21078"/>
    <w:rsid w:val="00A34959"/>
    <w:rsid w:val="00A3654A"/>
    <w:rsid w:val="00A36F76"/>
    <w:rsid w:val="00A708AD"/>
    <w:rsid w:val="00A81F5B"/>
    <w:rsid w:val="00AA741E"/>
    <w:rsid w:val="00AD3470"/>
    <w:rsid w:val="00AD6AE4"/>
    <w:rsid w:val="00B021F0"/>
    <w:rsid w:val="00B05548"/>
    <w:rsid w:val="00B10912"/>
    <w:rsid w:val="00B37C12"/>
    <w:rsid w:val="00B40F88"/>
    <w:rsid w:val="00B46BCC"/>
    <w:rsid w:val="00B53B8D"/>
    <w:rsid w:val="00B64744"/>
    <w:rsid w:val="00B80DEB"/>
    <w:rsid w:val="00B903CC"/>
    <w:rsid w:val="00BA1EF1"/>
    <w:rsid w:val="00BA791F"/>
    <w:rsid w:val="00BC225C"/>
    <w:rsid w:val="00BC4C0D"/>
    <w:rsid w:val="00BD0697"/>
    <w:rsid w:val="00BE2B07"/>
    <w:rsid w:val="00BF3D3E"/>
    <w:rsid w:val="00C16DFA"/>
    <w:rsid w:val="00C2522B"/>
    <w:rsid w:val="00C378D4"/>
    <w:rsid w:val="00C62042"/>
    <w:rsid w:val="00C900E1"/>
    <w:rsid w:val="00C96534"/>
    <w:rsid w:val="00CA2E89"/>
    <w:rsid w:val="00CA53BB"/>
    <w:rsid w:val="00CB7636"/>
    <w:rsid w:val="00CC02EB"/>
    <w:rsid w:val="00CE09C4"/>
    <w:rsid w:val="00D03DC1"/>
    <w:rsid w:val="00D05F7C"/>
    <w:rsid w:val="00D10A38"/>
    <w:rsid w:val="00D2584B"/>
    <w:rsid w:val="00D31877"/>
    <w:rsid w:val="00D32C99"/>
    <w:rsid w:val="00D5309A"/>
    <w:rsid w:val="00D6291C"/>
    <w:rsid w:val="00D637FF"/>
    <w:rsid w:val="00D74A36"/>
    <w:rsid w:val="00D90E9D"/>
    <w:rsid w:val="00DE5F99"/>
    <w:rsid w:val="00E007BF"/>
    <w:rsid w:val="00E0090D"/>
    <w:rsid w:val="00E22801"/>
    <w:rsid w:val="00E2501C"/>
    <w:rsid w:val="00E26614"/>
    <w:rsid w:val="00E37A5D"/>
    <w:rsid w:val="00E53ABF"/>
    <w:rsid w:val="00E64EE0"/>
    <w:rsid w:val="00E71E7B"/>
    <w:rsid w:val="00EA5386"/>
    <w:rsid w:val="00EA585B"/>
    <w:rsid w:val="00EB6116"/>
    <w:rsid w:val="00EF5D02"/>
    <w:rsid w:val="00EF6269"/>
    <w:rsid w:val="00F07427"/>
    <w:rsid w:val="00F20AC6"/>
    <w:rsid w:val="00F36532"/>
    <w:rsid w:val="00F419E1"/>
    <w:rsid w:val="00F55F2D"/>
    <w:rsid w:val="00F76C1F"/>
    <w:rsid w:val="00F77372"/>
    <w:rsid w:val="00F90C01"/>
    <w:rsid w:val="00FA08CE"/>
    <w:rsid w:val="00FA16B1"/>
    <w:rsid w:val="00FA6321"/>
    <w:rsid w:val="00FB5C70"/>
    <w:rsid w:val="00FB7C3C"/>
    <w:rsid w:val="00FD0D6F"/>
    <w:rsid w:val="00FD1151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33E90"/>
  <w15:docId w15:val="{236A4FBB-290B-4B2B-BAC7-040F139B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E8D"/>
    <w:pPr>
      <w:spacing w:after="240"/>
      <w:jc w:val="both"/>
    </w:pPr>
    <w:rPr>
      <w:rFonts w:ascii="Calibri" w:hAnsi="Calibri"/>
      <w:sz w:val="21"/>
      <w:szCs w:val="20"/>
    </w:rPr>
  </w:style>
  <w:style w:type="paragraph" w:styleId="Heading1">
    <w:name w:val="heading 1"/>
    <w:basedOn w:val="Normal"/>
    <w:next w:val="Normal"/>
    <w:qFormat/>
    <w:rsid w:val="006E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7E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E7E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6E7E8D"/>
    <w:pPr>
      <w:numPr>
        <w:numId w:val="1"/>
      </w:numPr>
    </w:pPr>
  </w:style>
  <w:style w:type="paragraph" w:customStyle="1" w:styleId="AgreementFooterGuernsey">
    <w:name w:val="Agreement Footer Guernsey"/>
    <w:basedOn w:val="Normal"/>
    <w:rsid w:val="006E7E8D"/>
    <w:pPr>
      <w:jc w:val="left"/>
    </w:pPr>
    <w:rPr>
      <w:sz w:val="20"/>
    </w:rPr>
  </w:style>
  <w:style w:type="paragraph" w:customStyle="1" w:styleId="AgreementFooterJersey">
    <w:name w:val="Agreement Footer Jersey"/>
    <w:basedOn w:val="Normal"/>
    <w:rsid w:val="006E7E8D"/>
    <w:pPr>
      <w:jc w:val="left"/>
    </w:pPr>
    <w:rPr>
      <w:sz w:val="12"/>
      <w:szCs w:val="12"/>
    </w:rPr>
  </w:style>
  <w:style w:type="paragraph" w:customStyle="1" w:styleId="AgreementHeading1">
    <w:name w:val="Agreement Heading 1"/>
    <w:basedOn w:val="Normal"/>
    <w:next w:val="BlockText"/>
    <w:rsid w:val="006E7E8D"/>
    <w:pPr>
      <w:keepNext/>
      <w:numPr>
        <w:numId w:val="4"/>
      </w:numPr>
    </w:pPr>
    <w:rPr>
      <w:rFonts w:hAnsi="Times New Roman Bold"/>
      <w:b/>
      <w:caps/>
    </w:rPr>
  </w:style>
  <w:style w:type="paragraph" w:styleId="BlockText">
    <w:name w:val="Block Text"/>
    <w:basedOn w:val="Normal"/>
    <w:rsid w:val="006E7E8D"/>
    <w:pPr>
      <w:tabs>
        <w:tab w:val="left" w:pos="720"/>
      </w:tabs>
      <w:ind w:left="720"/>
    </w:pPr>
  </w:style>
  <w:style w:type="paragraph" w:styleId="BodyText">
    <w:name w:val="Body Text"/>
    <w:basedOn w:val="Normal"/>
    <w:link w:val="BodyTextChar"/>
    <w:rsid w:val="006E7E8D"/>
  </w:style>
  <w:style w:type="character" w:customStyle="1" w:styleId="BodyTextChar">
    <w:name w:val="Body Text Char"/>
    <w:basedOn w:val="DefaultParagraphFont"/>
    <w:link w:val="BodyText"/>
    <w:rsid w:val="006E7E8D"/>
    <w:rPr>
      <w:rFonts w:ascii="Calibri" w:hAnsi="Calibri"/>
      <w:sz w:val="21"/>
      <w:szCs w:val="20"/>
    </w:rPr>
  </w:style>
  <w:style w:type="paragraph" w:customStyle="1" w:styleId="AgreementHeading2">
    <w:name w:val="Agreement Heading 2"/>
    <w:basedOn w:val="BodyText"/>
    <w:rsid w:val="006E7E8D"/>
    <w:pPr>
      <w:numPr>
        <w:ilvl w:val="1"/>
        <w:numId w:val="4"/>
      </w:numPr>
    </w:pPr>
  </w:style>
  <w:style w:type="paragraph" w:customStyle="1" w:styleId="AgreementHeading2bold">
    <w:name w:val="Agreement Heading 2 bold"/>
    <w:basedOn w:val="AgreementHeading2"/>
    <w:next w:val="BlockText"/>
    <w:rsid w:val="006E7E8D"/>
    <w:pPr>
      <w:keepNext/>
      <w:numPr>
        <w:ilvl w:val="0"/>
        <w:numId w:val="0"/>
      </w:numPr>
    </w:pPr>
    <w:rPr>
      <w:b/>
    </w:rPr>
  </w:style>
  <w:style w:type="paragraph" w:customStyle="1" w:styleId="AgreementHeading3">
    <w:name w:val="Agreement Heading 3"/>
    <w:basedOn w:val="Normal"/>
    <w:rsid w:val="006E7E8D"/>
    <w:pPr>
      <w:numPr>
        <w:ilvl w:val="2"/>
        <w:numId w:val="4"/>
      </w:numPr>
    </w:pPr>
  </w:style>
  <w:style w:type="paragraph" w:customStyle="1" w:styleId="AgreementHeading4">
    <w:name w:val="Agreement Heading 4"/>
    <w:basedOn w:val="Normal"/>
    <w:rsid w:val="006E7E8D"/>
    <w:pPr>
      <w:numPr>
        <w:ilvl w:val="3"/>
        <w:numId w:val="4"/>
      </w:numPr>
    </w:pPr>
  </w:style>
  <w:style w:type="paragraph" w:customStyle="1" w:styleId="AgreementHeading5">
    <w:name w:val="Agreement Heading 5"/>
    <w:basedOn w:val="Normal"/>
    <w:rsid w:val="006E7E8D"/>
    <w:pPr>
      <w:numPr>
        <w:ilvl w:val="4"/>
        <w:numId w:val="4"/>
      </w:numPr>
    </w:pPr>
  </w:style>
  <w:style w:type="paragraph" w:customStyle="1" w:styleId="AgreementParties">
    <w:name w:val="Agreement Parties"/>
    <w:basedOn w:val="Normal"/>
    <w:rsid w:val="006E7E8D"/>
    <w:pPr>
      <w:numPr>
        <w:numId w:val="2"/>
      </w:numPr>
    </w:pPr>
  </w:style>
  <w:style w:type="paragraph" w:customStyle="1" w:styleId="AgreementRecitals">
    <w:name w:val="Agreement Recitals"/>
    <w:basedOn w:val="Normal"/>
    <w:rsid w:val="006E7E8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6E7E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7E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E7E8D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6E7E8D"/>
    <w:rPr>
      <w:rFonts w:ascii="Calibri" w:hAnsi="Calibri"/>
      <w:sz w:val="16"/>
      <w:szCs w:val="20"/>
    </w:rPr>
  </w:style>
  <w:style w:type="paragraph" w:customStyle="1" w:styleId="frontcover">
    <w:name w:val="frontcover"/>
    <w:basedOn w:val="Normal"/>
    <w:rsid w:val="006E7E8D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6E7E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8D"/>
    <w:rPr>
      <w:rFonts w:ascii="Calibri" w:hAnsi="Calibri"/>
      <w:sz w:val="21"/>
      <w:szCs w:val="20"/>
    </w:rPr>
  </w:style>
  <w:style w:type="character" w:styleId="Hyperlink">
    <w:name w:val="Hyperlink"/>
    <w:uiPriority w:val="99"/>
    <w:rsid w:val="006E7E8D"/>
    <w:rPr>
      <w:color w:val="0000FF"/>
      <w:u w:val="single"/>
    </w:rPr>
  </w:style>
  <w:style w:type="paragraph" w:customStyle="1" w:styleId="Level1noheading">
    <w:name w:val="Level 1 no heading"/>
    <w:basedOn w:val="AgreementHeading1"/>
    <w:rsid w:val="006E7E8D"/>
    <w:pPr>
      <w:numPr>
        <w:numId w:val="0"/>
      </w:numPr>
    </w:pPr>
    <w:rPr>
      <w:rFonts w:hAnsi="Times New Roman"/>
      <w:b w:val="0"/>
      <w:caps w:val="0"/>
    </w:rPr>
  </w:style>
  <w:style w:type="character" w:styleId="PageNumber">
    <w:name w:val="page number"/>
    <w:basedOn w:val="DefaultParagraphFont"/>
    <w:rsid w:val="006E7E8D"/>
  </w:style>
  <w:style w:type="paragraph" w:customStyle="1" w:styleId="ScheduleClauses">
    <w:name w:val="Schedule Clauses"/>
    <w:basedOn w:val="AgreementHeading1"/>
    <w:rsid w:val="006E7E8D"/>
    <w:pPr>
      <w:numPr>
        <w:numId w:val="5"/>
      </w:numPr>
    </w:pPr>
    <w:rPr>
      <w:rFonts w:hAnsi="Times New Roman"/>
      <w:b w:val="0"/>
      <w:caps w:val="0"/>
    </w:rPr>
  </w:style>
  <w:style w:type="paragraph" w:customStyle="1" w:styleId="ScheduleNumber">
    <w:name w:val="Schedule Number"/>
    <w:basedOn w:val="AgreementHeading1"/>
    <w:next w:val="Normal"/>
    <w:rsid w:val="006E7E8D"/>
    <w:pPr>
      <w:keepNext w:val="0"/>
      <w:keepLines/>
      <w:widowControl w:val="0"/>
      <w:numPr>
        <w:numId w:val="0"/>
      </w:numPr>
      <w:jc w:val="center"/>
    </w:pPr>
    <w:rPr>
      <w:rFonts w:hAnsi="Calibri"/>
    </w:rPr>
  </w:style>
  <w:style w:type="paragraph" w:customStyle="1" w:styleId="ScheduleTitle">
    <w:name w:val="Schedule Title"/>
    <w:basedOn w:val="ScheduleNumber"/>
    <w:next w:val="Normal"/>
    <w:rsid w:val="006E7E8D"/>
    <w:rPr>
      <w:b w:val="0"/>
      <w:caps w:val="0"/>
    </w:rPr>
  </w:style>
  <w:style w:type="table" w:styleId="TableGrid">
    <w:name w:val="Table Grid"/>
    <w:basedOn w:val="TableNormal"/>
    <w:rsid w:val="006E7E8D"/>
    <w:pPr>
      <w:spacing w:after="240" w:line="312" w:lineRule="auto"/>
      <w:jc w:val="both"/>
    </w:pPr>
    <w:rPr>
      <w:rFonts w:ascii="Calibri" w:hAnsi="Calibri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E7E8D"/>
    <w:pPr>
      <w:spacing w:before="120" w:after="360"/>
      <w:jc w:val="center"/>
    </w:pPr>
    <w:rPr>
      <w:rFonts w:hAnsi="Times New Roman Bold" w:cs="Arial"/>
      <w:b/>
      <w:bCs/>
      <w:caps/>
      <w:kern w:val="28"/>
    </w:rPr>
  </w:style>
  <w:style w:type="character" w:customStyle="1" w:styleId="TitleChar">
    <w:name w:val="Title Char"/>
    <w:basedOn w:val="DefaultParagraphFont"/>
    <w:link w:val="Title"/>
    <w:rsid w:val="006E7E8D"/>
    <w:rPr>
      <w:rFonts w:ascii="Calibri" w:hAnsi="Times New Roman Bold" w:cs="Arial"/>
      <w:b/>
      <w:bCs/>
      <w:caps/>
      <w:kern w:val="28"/>
      <w:sz w:val="21"/>
      <w:szCs w:val="20"/>
    </w:rPr>
  </w:style>
  <w:style w:type="paragraph" w:styleId="TOC1">
    <w:name w:val="toc 1"/>
    <w:basedOn w:val="Normal"/>
    <w:next w:val="Normal"/>
    <w:autoRedefine/>
    <w:rsid w:val="006E7E8D"/>
    <w:pPr>
      <w:tabs>
        <w:tab w:val="right" w:pos="9015"/>
      </w:tabs>
    </w:pPr>
    <w:rPr>
      <w:caps/>
    </w:rPr>
  </w:style>
  <w:style w:type="paragraph" w:styleId="TOC2">
    <w:name w:val="toc 2"/>
    <w:basedOn w:val="Normal"/>
    <w:next w:val="Normal"/>
    <w:rsid w:val="006E7E8D"/>
    <w:pPr>
      <w:tabs>
        <w:tab w:val="right" w:pos="9015"/>
      </w:tabs>
      <w:ind w:left="703"/>
    </w:pPr>
  </w:style>
  <w:style w:type="paragraph" w:styleId="TOC3">
    <w:name w:val="toc 3"/>
    <w:basedOn w:val="Normal"/>
    <w:next w:val="Normal"/>
    <w:autoRedefine/>
    <w:rsid w:val="006E7E8D"/>
    <w:pPr>
      <w:ind w:left="440"/>
    </w:pPr>
  </w:style>
  <w:style w:type="paragraph" w:styleId="TOC4">
    <w:name w:val="toc 4"/>
    <w:basedOn w:val="Normal"/>
    <w:next w:val="Normal"/>
    <w:autoRedefine/>
    <w:rsid w:val="006E7E8D"/>
    <w:pPr>
      <w:ind w:left="660"/>
    </w:pPr>
  </w:style>
  <w:style w:type="paragraph" w:styleId="TOC5">
    <w:name w:val="toc 5"/>
    <w:basedOn w:val="Normal"/>
    <w:next w:val="Normal"/>
    <w:autoRedefine/>
    <w:rsid w:val="006E7E8D"/>
    <w:pPr>
      <w:ind w:left="880"/>
    </w:pPr>
  </w:style>
  <w:style w:type="paragraph" w:styleId="TOC6">
    <w:name w:val="toc 6"/>
    <w:basedOn w:val="Normal"/>
    <w:next w:val="Normal"/>
    <w:autoRedefine/>
    <w:rsid w:val="006E7E8D"/>
    <w:pPr>
      <w:ind w:left="1100"/>
    </w:pPr>
  </w:style>
  <w:style w:type="paragraph" w:styleId="TOC7">
    <w:name w:val="toc 7"/>
    <w:basedOn w:val="Normal"/>
    <w:next w:val="Normal"/>
    <w:autoRedefine/>
    <w:rsid w:val="006E7E8D"/>
    <w:pPr>
      <w:ind w:left="1320"/>
    </w:pPr>
  </w:style>
  <w:style w:type="paragraph" w:styleId="TOC8">
    <w:name w:val="toc 8"/>
    <w:basedOn w:val="Normal"/>
    <w:next w:val="Normal"/>
    <w:autoRedefine/>
    <w:rsid w:val="006E7E8D"/>
    <w:pPr>
      <w:ind w:left="1540"/>
    </w:pPr>
  </w:style>
  <w:style w:type="paragraph" w:styleId="TOC9">
    <w:name w:val="toc 9"/>
    <w:basedOn w:val="Normal"/>
    <w:next w:val="Normal"/>
    <w:autoRedefine/>
    <w:rsid w:val="006E7E8D"/>
    <w:pPr>
      <w:ind w:left="1760"/>
    </w:pPr>
  </w:style>
  <w:style w:type="paragraph" w:customStyle="1" w:styleId="TOC10">
    <w:name w:val="TOC1"/>
    <w:basedOn w:val="TOC1"/>
    <w:rsid w:val="006E7E8D"/>
    <w:pPr>
      <w:tabs>
        <w:tab w:val="left" w:pos="720"/>
      </w:tabs>
    </w:pPr>
    <w:rPr>
      <w:caps w:val="0"/>
    </w:rPr>
  </w:style>
  <w:style w:type="paragraph" w:customStyle="1" w:styleId="Default">
    <w:name w:val="Default"/>
    <w:rsid w:val="000C45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aliases w:val="Carattere,Carattere Carattere Carattere Carattere,Testo nota a piè di pagina Carattere Carattere,Testo nota a piè di pagina Carattere Carattere Carattere Carattere,Testo nota a piè di pagina Carattere1 Carattere Carattere"/>
    <w:basedOn w:val="Normal"/>
    <w:link w:val="FootnoteTextChar"/>
    <w:uiPriority w:val="99"/>
    <w:qFormat/>
    <w:rsid w:val="00740F50"/>
    <w:pPr>
      <w:spacing w:after="0"/>
    </w:pPr>
    <w:rPr>
      <w:sz w:val="20"/>
    </w:rPr>
  </w:style>
  <w:style w:type="character" w:customStyle="1" w:styleId="FootnoteTextChar">
    <w:name w:val="Footnote Text Char"/>
    <w:aliases w:val="Carattere Char,Carattere Carattere Carattere Carattere Char,Testo nota a piè di pagina Carattere Carattere Char,Testo nota a piè di pagina Carattere Carattere Carattere Carattere Char"/>
    <w:basedOn w:val="DefaultParagraphFont"/>
    <w:link w:val="FootnoteText"/>
    <w:uiPriority w:val="99"/>
    <w:rsid w:val="00740F50"/>
    <w:rPr>
      <w:rFonts w:ascii="Calibri" w:hAnsi="Calibri"/>
      <w:sz w:val="20"/>
      <w:szCs w:val="20"/>
    </w:rPr>
  </w:style>
  <w:style w:type="character" w:styleId="FootnoteReference">
    <w:name w:val="footnote reference"/>
    <w:aliases w:val="Footnote Refernece,BVI fnr,callout,16 Point,Superscript 6 Point,Footnote Reference Superscript,Ref,de nota al pie,-E Fußnotenzeichen,number,SUPERS,EN Footnote Reference,-E Fuﬂnotenzeichen,-E Fuûnotenzeichen,Footnote number,F"/>
    <w:basedOn w:val="DefaultParagraphFont"/>
    <w:uiPriority w:val="99"/>
    <w:qFormat/>
    <w:rsid w:val="00740F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783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C9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D06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22"/>
    <w:qFormat/>
    <w:rsid w:val="00B05548"/>
    <w:rPr>
      <w:b/>
      <w:bCs/>
    </w:rPr>
  </w:style>
  <w:style w:type="character" w:customStyle="1" w:styleId="tlid-translation">
    <w:name w:val="tlid-translation"/>
    <w:basedOn w:val="DefaultParagraphFont"/>
    <w:rsid w:val="00631F24"/>
  </w:style>
  <w:style w:type="paragraph" w:styleId="NoSpacing">
    <w:name w:val="No Spacing"/>
    <w:uiPriority w:val="1"/>
    <w:qFormat/>
    <w:rsid w:val="00631F2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">
    <w:name w:val="st"/>
    <w:basedOn w:val="DefaultParagraphFont"/>
    <w:rsid w:val="00631F24"/>
  </w:style>
  <w:style w:type="character" w:customStyle="1" w:styleId="gt-baf-cell">
    <w:name w:val="gt-baf-cell"/>
    <w:basedOn w:val="DefaultParagraphFont"/>
    <w:rsid w:val="00782731"/>
  </w:style>
  <w:style w:type="character" w:styleId="UnresolvedMention">
    <w:name w:val="Unresolved Mention"/>
    <w:basedOn w:val="DefaultParagraphFont"/>
    <w:uiPriority w:val="99"/>
    <w:semiHidden/>
    <w:unhideWhenUsed/>
    <w:rsid w:val="00492065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492065"/>
  </w:style>
  <w:style w:type="character" w:styleId="Emphasis">
    <w:name w:val="Emphasis"/>
    <w:basedOn w:val="DefaultParagraphFont"/>
    <w:uiPriority w:val="20"/>
    <w:qFormat/>
    <w:rsid w:val="00492065"/>
    <w:rPr>
      <w:i/>
      <w:iCs/>
    </w:rPr>
  </w:style>
  <w:style w:type="paragraph" w:customStyle="1" w:styleId="DPBullet">
    <w:name w:val="DPBullet"/>
    <w:basedOn w:val="Normal"/>
    <w:uiPriority w:val="6"/>
    <w:qFormat/>
    <w:rsid w:val="008609CB"/>
    <w:pPr>
      <w:numPr>
        <w:numId w:val="6"/>
      </w:numPr>
      <w:spacing w:after="120" w:line="264" w:lineRule="auto"/>
      <w:contextualSpacing/>
      <w:jc w:val="left"/>
    </w:pPr>
    <w:rPr>
      <w:rFonts w:ascii="Garamond" w:eastAsiaTheme="minorHAnsi" w:hAnsi="Garamond"/>
      <w:lang w:eastAsia="en-US"/>
    </w:rPr>
  </w:style>
  <w:style w:type="paragraph" w:customStyle="1" w:styleId="DPBullet1">
    <w:name w:val="DPBullet1"/>
    <w:basedOn w:val="Normal"/>
    <w:uiPriority w:val="6"/>
    <w:rsid w:val="008609CB"/>
    <w:pPr>
      <w:numPr>
        <w:ilvl w:val="1"/>
        <w:numId w:val="6"/>
      </w:numPr>
      <w:spacing w:after="120" w:line="264" w:lineRule="auto"/>
      <w:contextualSpacing/>
      <w:jc w:val="left"/>
    </w:pPr>
    <w:rPr>
      <w:rFonts w:ascii="Garamond" w:eastAsiaTheme="minorHAnsi" w:hAnsi="Garamond"/>
      <w:lang w:eastAsia="en-US"/>
    </w:rPr>
  </w:style>
  <w:style w:type="paragraph" w:customStyle="1" w:styleId="DPBullet2">
    <w:name w:val="DPBullet2"/>
    <w:basedOn w:val="Normal"/>
    <w:uiPriority w:val="6"/>
    <w:rsid w:val="008609CB"/>
    <w:pPr>
      <w:numPr>
        <w:ilvl w:val="2"/>
        <w:numId w:val="6"/>
      </w:numPr>
      <w:spacing w:after="120" w:line="264" w:lineRule="auto"/>
      <w:contextualSpacing/>
      <w:jc w:val="left"/>
    </w:pPr>
    <w:rPr>
      <w:rFonts w:ascii="Garamond" w:eastAsiaTheme="minorHAnsi" w:hAnsi="Garamond"/>
      <w:lang w:eastAsia="en-US"/>
    </w:rPr>
  </w:style>
  <w:style w:type="paragraph" w:customStyle="1" w:styleId="DPHead2">
    <w:name w:val="DPHead2"/>
    <w:basedOn w:val="Normal"/>
    <w:next w:val="DPBodytxt"/>
    <w:uiPriority w:val="2"/>
    <w:qFormat/>
    <w:rsid w:val="008609CB"/>
    <w:pPr>
      <w:spacing w:after="60"/>
      <w:jc w:val="left"/>
      <w:outlineLvl w:val="2"/>
    </w:pPr>
    <w:rPr>
      <w:rFonts w:ascii="Arial" w:eastAsiaTheme="minorHAnsi" w:hAnsi="Arial" w:cs="Arial"/>
      <w:color w:val="4BACC6" w:themeColor="accent5"/>
      <w:sz w:val="24"/>
      <w:szCs w:val="24"/>
      <w:lang w:eastAsia="en-US"/>
    </w:rPr>
  </w:style>
  <w:style w:type="paragraph" w:customStyle="1" w:styleId="DPOpeningPara">
    <w:name w:val="DPOpeningPara"/>
    <w:basedOn w:val="Normal"/>
    <w:next w:val="DPBodytxt"/>
    <w:uiPriority w:val="5"/>
    <w:qFormat/>
    <w:rsid w:val="008609CB"/>
    <w:pPr>
      <w:spacing w:after="120" w:line="264" w:lineRule="auto"/>
      <w:jc w:val="left"/>
    </w:pPr>
    <w:rPr>
      <w:rFonts w:ascii="Garamond" w:eastAsiaTheme="minorHAnsi" w:hAnsi="Garamond" w:cs="Arial"/>
      <w:sz w:val="30"/>
      <w:lang w:eastAsia="en-US"/>
    </w:rPr>
  </w:style>
  <w:style w:type="paragraph" w:customStyle="1" w:styleId="DPBodytxt">
    <w:name w:val="DPBodytxt"/>
    <w:basedOn w:val="Normal"/>
    <w:uiPriority w:val="6"/>
    <w:qFormat/>
    <w:rsid w:val="008609CB"/>
    <w:pPr>
      <w:spacing w:after="120" w:line="264" w:lineRule="auto"/>
      <w:jc w:val="left"/>
    </w:pPr>
    <w:rPr>
      <w:rFonts w:ascii="Arial" w:eastAsiaTheme="minorHAnsi" w:hAnsi="Arial"/>
      <w:lang w:eastAsia="en-US"/>
    </w:rPr>
  </w:style>
  <w:style w:type="paragraph" w:customStyle="1" w:styleId="Bullet">
    <w:name w:val="Bullet"/>
    <w:basedOn w:val="DPBullet"/>
    <w:rsid w:val="008609CB"/>
    <w:pPr>
      <w:jc w:val="both"/>
    </w:pPr>
    <w:rPr>
      <w:rFonts w:ascii="Arial" w:hAnsi="Arial"/>
    </w:rPr>
  </w:style>
  <w:style w:type="character" w:customStyle="1" w:styleId="jlqj4b">
    <w:name w:val="jlqj4b"/>
    <w:basedOn w:val="DefaultParagraphFont"/>
    <w:rsid w:val="00D90E9D"/>
  </w:style>
  <w:style w:type="character" w:customStyle="1" w:styleId="hps">
    <w:name w:val="hps"/>
    <w:basedOn w:val="DefaultParagraphFont"/>
    <w:rsid w:val="00D90E9D"/>
  </w:style>
  <w:style w:type="character" w:customStyle="1" w:styleId="hgkelc">
    <w:name w:val="hgkelc"/>
    <w:basedOn w:val="DefaultParagraphFont"/>
    <w:rsid w:val="00D90E9D"/>
  </w:style>
  <w:style w:type="character" w:customStyle="1" w:styleId="Nmerodepgina1">
    <w:name w:val="Número de página1"/>
    <w:rsid w:val="00D90E9D"/>
    <w:rPr>
      <w:lang w:val="en-US"/>
    </w:rPr>
  </w:style>
  <w:style w:type="character" w:customStyle="1" w:styleId="FootnoteTextChar1">
    <w:name w:val="Footnote Text Char1"/>
    <w:uiPriority w:val="99"/>
    <w:rsid w:val="009224B4"/>
    <w:rPr>
      <w:rFonts w:ascii="Times New Roman" w:hAnsi="Times New Roman"/>
      <w:sz w:val="16"/>
    </w:rPr>
  </w:style>
  <w:style w:type="character" w:styleId="FollowedHyperlink">
    <w:name w:val="FollowedHyperlink"/>
    <w:basedOn w:val="DefaultParagraphFont"/>
    <w:semiHidden/>
    <w:unhideWhenUsed/>
    <w:rsid w:val="002F54CA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16531A"/>
    <w:rPr>
      <w:rFonts w:ascii="Arial" w:hAnsi="Arial"/>
      <w:b/>
      <w:i/>
      <w:iCs/>
      <w:color w:val="auto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3674"/>
    <w:pPr>
      <w:spacing w:after="0"/>
      <w:jc w:val="left"/>
    </w:pPr>
    <w:rPr>
      <w:rFonts w:asciiTheme="minorHAnsi" w:eastAsiaTheme="minorHAnsi" w:hAnsiTheme="minorHAnsi" w:cstheme="minorBidi"/>
      <w:sz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3674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83674"/>
    <w:rPr>
      <w:vertAlign w:val="superscript"/>
    </w:rPr>
  </w:style>
  <w:style w:type="paragraph" w:customStyle="1" w:styleId="DSHeadingUnnumbered1">
    <w:name w:val="DS_Heading_Unnumbered_1"/>
    <w:basedOn w:val="Heading1"/>
    <w:next w:val="Normal"/>
    <w:qFormat/>
    <w:rsid w:val="00D10A38"/>
    <w:pPr>
      <w:keepNext w:val="0"/>
      <w:spacing w:before="0" w:after="0" w:line="280" w:lineRule="atLeast"/>
      <w:jc w:val="left"/>
    </w:pPr>
    <w:rPr>
      <w:rFonts w:asciiTheme="majorHAnsi" w:eastAsiaTheme="majorEastAsia" w:hAnsiTheme="majorHAnsi" w:cstheme="majorBidi"/>
      <w:bCs w:val="0"/>
      <w:color w:val="000000" w:themeColor="text1"/>
      <w:kern w:val="0"/>
      <w:sz w:val="20"/>
      <w:lang w:val="nl-NL" w:eastAsia="en-US"/>
    </w:rPr>
  </w:style>
  <w:style w:type="character" w:customStyle="1" w:styleId="Heading2Char">
    <w:name w:val="Heading 2 Char"/>
    <w:basedOn w:val="DefaultParagraphFont"/>
    <w:link w:val="Heading2"/>
    <w:rsid w:val="00FA6321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61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9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awtechuk.io/our-reports/" TargetMode="External"/><Relationship Id="rId3" Type="http://schemas.openxmlformats.org/officeDocument/2006/relationships/hyperlink" Target="https://bankruptcyroundtable.law.harvard.edu/2023/02/28/crypto-bankruptcy-series-ftx-bankruptcy-a-failure-of-centralized-governance-in-the-name-of-decentralized-cryptocurrencies/" TargetMode="External"/><Relationship Id="rId7" Type="http://schemas.openxmlformats.org/officeDocument/2006/relationships/hyperlink" Target="https://www.unidroit.org/work-in-progress/digital-assets-and-private-law/" TargetMode="External"/><Relationship Id="rId2" Type="http://schemas.openxmlformats.org/officeDocument/2006/relationships/hyperlink" Target="https://dx.doi.org/10.2139/ssrn.4769396" TargetMode="External"/><Relationship Id="rId1" Type="http://schemas.openxmlformats.org/officeDocument/2006/relationships/hyperlink" Target="https://ssrn.com/abstract=4769396" TargetMode="External"/><Relationship Id="rId6" Type="http://schemas.openxmlformats.org/officeDocument/2006/relationships/hyperlink" Target="https://www.osborneclarke.com/insights/singapores-regulators-set-pace-blockchain-and-fintech-ecosystem-advances" TargetMode="External"/><Relationship Id="rId5" Type="http://schemas.openxmlformats.org/officeDocument/2006/relationships/hyperlink" Target="https://www.fca.org.uk/firms/cryptoassets-information" TargetMode="External"/><Relationship Id="rId10" Type="http://schemas.openxmlformats.org/officeDocument/2006/relationships/hyperlink" Target="https://dx.doi.org/10.2139/ssrn.4704029" TargetMode="External"/><Relationship Id="rId4" Type="http://schemas.openxmlformats.org/officeDocument/2006/relationships/hyperlink" Target="https://ethereum.org/en/developers/docs/consensus-mechanisms/pos/" TargetMode="External"/><Relationship Id="rId9" Type="http://schemas.openxmlformats.org/officeDocument/2006/relationships/hyperlink" Target="https://ssrn.com/abstract=470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58C5-F18C-4648-9382-4F38F400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1343</Words>
  <Characters>7657</Characters>
  <Application>Microsoft Office Word</Application>
  <DocSecurity>0</DocSecurity>
  <PresentationFormat/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8983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Omar</dc:creator>
  <cp:lastModifiedBy>Paul Omar</cp:lastModifiedBy>
  <cp:revision>3</cp:revision>
  <cp:lastPrinted>2017-11-20T20:14:00Z</cp:lastPrinted>
  <dcterms:created xsi:type="dcterms:W3CDTF">2025-02-14T14:03:00Z</dcterms:created>
  <dcterms:modified xsi:type="dcterms:W3CDTF">2025-02-14T14:17:00Z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Footer">
    <vt:lpwstr>1039119/0162/J12269628v1</vt:lpwstr>
  </property>
  <property fmtid="{D5CDD505-2E9C-101B-9397-08002B2CF9AE}" pid="3" name="WSFooter">
    <vt:lpwstr>1039119/0162/J12269628v1</vt:lpwstr>
  </property>
</Properties>
</file>