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F7232D" w:rsidRDefault="005D783E" w:rsidP="003C338F">
      <w:pPr>
        <w:tabs>
          <w:tab w:val="left" w:pos="474"/>
        </w:tabs>
        <w:spacing w:after="0"/>
        <w:contextualSpacing/>
        <w:rPr>
          <w:rFonts w:ascii="Times New Roman" w:hAnsi="Times New Roman"/>
          <w:sz w:val="24"/>
          <w:szCs w:val="24"/>
        </w:rPr>
      </w:pPr>
    </w:p>
    <w:p w14:paraId="39E9118B" w14:textId="561C5F5A" w:rsidR="00617533" w:rsidRPr="00F7232D" w:rsidRDefault="00492065" w:rsidP="008609CB">
      <w:pPr>
        <w:spacing w:after="0"/>
        <w:contextualSpacing/>
        <w:jc w:val="center"/>
        <w:rPr>
          <w:rFonts w:ascii="Times New Roman" w:hAnsi="Times New Roman"/>
          <w:b/>
          <w:sz w:val="24"/>
          <w:szCs w:val="24"/>
        </w:rPr>
      </w:pPr>
      <w:r w:rsidRPr="00F7232D">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F7232D" w:rsidRDefault="00617533" w:rsidP="008609CB">
      <w:pPr>
        <w:spacing w:after="0"/>
        <w:contextualSpacing/>
        <w:jc w:val="center"/>
        <w:rPr>
          <w:rFonts w:ascii="Times New Roman" w:hAnsi="Times New Roman"/>
          <w:b/>
          <w:sz w:val="24"/>
          <w:szCs w:val="24"/>
        </w:rPr>
      </w:pPr>
    </w:p>
    <w:p w14:paraId="2C7EFD65" w14:textId="6D5B3B80" w:rsidR="00617533" w:rsidRPr="00F7232D" w:rsidRDefault="00617533" w:rsidP="008609CB">
      <w:pPr>
        <w:spacing w:after="0"/>
        <w:contextualSpacing/>
        <w:jc w:val="center"/>
        <w:rPr>
          <w:rFonts w:ascii="Times New Roman" w:hAnsi="Times New Roman"/>
          <w:b/>
          <w:sz w:val="36"/>
          <w:szCs w:val="36"/>
        </w:rPr>
      </w:pPr>
      <w:r w:rsidRPr="00F7232D">
        <w:rPr>
          <w:rFonts w:ascii="Times New Roman" w:hAnsi="Times New Roman"/>
          <w:b/>
          <w:sz w:val="36"/>
          <w:szCs w:val="36"/>
        </w:rPr>
        <w:t xml:space="preserve">Inside Story – </w:t>
      </w:r>
      <w:r w:rsidR="00246E78">
        <w:rPr>
          <w:rFonts w:ascii="Times New Roman" w:hAnsi="Times New Roman"/>
          <w:b/>
          <w:sz w:val="36"/>
          <w:szCs w:val="36"/>
        </w:rPr>
        <w:t>May</w:t>
      </w:r>
      <w:r w:rsidR="00786CA6" w:rsidRPr="00F7232D">
        <w:rPr>
          <w:rFonts w:ascii="Times New Roman" w:hAnsi="Times New Roman"/>
          <w:b/>
          <w:sz w:val="36"/>
          <w:szCs w:val="36"/>
        </w:rPr>
        <w:t xml:space="preserve"> </w:t>
      </w:r>
      <w:r w:rsidRPr="00F7232D">
        <w:rPr>
          <w:rFonts w:ascii="Times New Roman" w:hAnsi="Times New Roman"/>
          <w:b/>
          <w:sz w:val="36"/>
          <w:szCs w:val="36"/>
        </w:rPr>
        <w:t>20</w:t>
      </w:r>
      <w:r w:rsidR="00782731" w:rsidRPr="00F7232D">
        <w:rPr>
          <w:rFonts w:ascii="Times New Roman" w:hAnsi="Times New Roman"/>
          <w:b/>
          <w:sz w:val="36"/>
          <w:szCs w:val="36"/>
        </w:rPr>
        <w:t>2</w:t>
      </w:r>
      <w:r w:rsidR="00D10A38" w:rsidRPr="00F7232D">
        <w:rPr>
          <w:rFonts w:ascii="Times New Roman" w:hAnsi="Times New Roman"/>
          <w:b/>
          <w:sz w:val="36"/>
          <w:szCs w:val="36"/>
        </w:rPr>
        <w:t>5</w:t>
      </w:r>
    </w:p>
    <w:p w14:paraId="1ECBC4F0" w14:textId="77777777" w:rsidR="00617533" w:rsidRPr="00F7232D" w:rsidRDefault="00617533" w:rsidP="008609CB">
      <w:pPr>
        <w:spacing w:after="0"/>
        <w:contextualSpacing/>
        <w:jc w:val="center"/>
        <w:rPr>
          <w:rFonts w:ascii="Times New Roman" w:hAnsi="Times New Roman"/>
          <w:b/>
          <w:sz w:val="24"/>
          <w:szCs w:val="24"/>
        </w:rPr>
      </w:pPr>
    </w:p>
    <w:p w14:paraId="0BE27879" w14:textId="77777777" w:rsidR="00F7232D" w:rsidRPr="00F7232D" w:rsidRDefault="00FA6321" w:rsidP="00F7232D">
      <w:pPr>
        <w:spacing w:after="0"/>
        <w:jc w:val="center"/>
        <w:rPr>
          <w:rFonts w:ascii="Times New Roman" w:hAnsi="Times New Roman"/>
          <w:b/>
          <w:bCs/>
          <w:sz w:val="32"/>
          <w:szCs w:val="32"/>
        </w:rPr>
      </w:pPr>
      <w:r w:rsidRPr="00F7232D">
        <w:rPr>
          <w:rFonts w:ascii="Times New Roman" w:hAnsi="Times New Roman"/>
          <w:b/>
          <w:bCs/>
          <w:sz w:val="32"/>
          <w:szCs w:val="32"/>
        </w:rPr>
        <w:t xml:space="preserve">A </w:t>
      </w:r>
      <w:r w:rsidR="00F7232D" w:rsidRPr="00F7232D">
        <w:rPr>
          <w:rFonts w:ascii="Times New Roman" w:hAnsi="Times New Roman"/>
          <w:b/>
          <w:bCs/>
          <w:sz w:val="32"/>
          <w:szCs w:val="32"/>
        </w:rPr>
        <w:t>Universalism: what are the new limitations on the English court’s ability to assist foreign office-holders?</w:t>
      </w:r>
    </w:p>
    <w:p w14:paraId="75DFE654" w14:textId="77777777" w:rsidR="00E71E7B" w:rsidRPr="00F7232D" w:rsidRDefault="00E71E7B" w:rsidP="008609CB">
      <w:pPr>
        <w:spacing w:after="0"/>
        <w:contextualSpacing/>
        <w:jc w:val="center"/>
        <w:rPr>
          <w:rFonts w:ascii="Times New Roman" w:hAnsi="Times New Roman"/>
          <w:sz w:val="24"/>
          <w:szCs w:val="24"/>
        </w:rPr>
      </w:pPr>
    </w:p>
    <w:p w14:paraId="0DAE9D3B" w14:textId="672B1659" w:rsidR="0011226B" w:rsidRPr="00F7232D" w:rsidRDefault="00F7232D" w:rsidP="00F7232D">
      <w:pPr>
        <w:pStyle w:val="NoSpacing"/>
        <w:jc w:val="center"/>
        <w:rPr>
          <w:rFonts w:ascii="Times New Roman" w:hAnsi="Times New Roman" w:cs="Times New Roman"/>
          <w:iCs/>
          <w:sz w:val="24"/>
          <w:szCs w:val="24"/>
          <w:shd w:val="clear" w:color="auto" w:fill="FFFFFF"/>
          <w:lang w:val="en-GB"/>
        </w:rPr>
      </w:pPr>
      <w:r w:rsidRPr="00F7232D">
        <w:rPr>
          <w:rFonts w:ascii="Times New Roman" w:hAnsi="Times New Roman" w:cs="Times New Roman"/>
          <w:i/>
          <w:sz w:val="24"/>
          <w:szCs w:val="24"/>
          <w:lang w:val="en-GB"/>
        </w:rPr>
        <w:t>Patrick Elliot</w:t>
      </w:r>
      <w:r w:rsidR="00D10A38" w:rsidRPr="00F7232D">
        <w:rPr>
          <w:rFonts w:ascii="Times New Roman" w:hAnsi="Times New Roman" w:cs="Times New Roman"/>
          <w:i/>
          <w:sz w:val="24"/>
          <w:szCs w:val="24"/>
          <w:lang w:val="en-GB"/>
        </w:rPr>
        <w:t xml:space="preserve">, </w:t>
      </w:r>
      <w:r w:rsidR="00FA6321" w:rsidRPr="00F7232D">
        <w:rPr>
          <w:rFonts w:ascii="Times New Roman" w:hAnsi="Times New Roman" w:cs="Times New Roman"/>
          <w:i/>
          <w:sz w:val="24"/>
          <w:szCs w:val="24"/>
          <w:lang w:val="en-GB"/>
        </w:rPr>
        <w:t>P</w:t>
      </w:r>
      <w:r w:rsidRPr="00F7232D">
        <w:rPr>
          <w:rFonts w:ascii="Times New Roman" w:hAnsi="Times New Roman" w:cs="Times New Roman"/>
          <w:i/>
          <w:sz w:val="24"/>
          <w:szCs w:val="24"/>
          <w:lang w:val="en-GB"/>
        </w:rPr>
        <w:t>artner, Keystone Law, UK</w:t>
      </w:r>
      <w:r w:rsidR="00D10A38" w:rsidRPr="00F7232D">
        <w:rPr>
          <w:rFonts w:ascii="Times New Roman" w:hAnsi="Times New Roman" w:cs="Times New Roman"/>
          <w:i/>
          <w:sz w:val="24"/>
          <w:szCs w:val="24"/>
          <w:lang w:val="en-GB"/>
        </w:rPr>
        <w:t>. Email: &lt;</w:t>
      </w:r>
      <w:r w:rsidRPr="00F7232D">
        <w:rPr>
          <w:rFonts w:ascii="Times New Roman" w:hAnsi="Times New Roman" w:cs="Times New Roman"/>
          <w:i/>
          <w:sz w:val="24"/>
          <w:szCs w:val="24"/>
          <w:lang w:val="en-GB"/>
        </w:rPr>
        <w:t>patrick.elliot@keystonelaw.co.uk</w:t>
      </w:r>
      <w:r w:rsidR="00D10A38" w:rsidRPr="00F7232D">
        <w:rPr>
          <w:rFonts w:ascii="Times New Roman" w:hAnsi="Times New Roman" w:cs="Times New Roman"/>
          <w:i/>
          <w:sz w:val="24"/>
          <w:szCs w:val="24"/>
          <w:lang w:val="en-GB"/>
        </w:rPr>
        <w:t>&gt;</w:t>
      </w:r>
      <w:r w:rsidR="0011226B" w:rsidRPr="00F7232D">
        <w:rPr>
          <w:rFonts w:ascii="Times New Roman" w:hAnsi="Times New Roman" w:cs="Times New Roman"/>
          <w:iCs/>
          <w:sz w:val="24"/>
          <w:szCs w:val="24"/>
          <w:shd w:val="clear" w:color="auto" w:fill="FFFFFF"/>
          <w:lang w:val="en-GB"/>
        </w:rPr>
        <w:t>.</w:t>
      </w:r>
    </w:p>
    <w:p w14:paraId="716971A7" w14:textId="5C26573A" w:rsidR="00104015" w:rsidRPr="00F7232D"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F7232D" w:rsidRDefault="00E71E7B" w:rsidP="00FA6321">
      <w:pPr>
        <w:spacing w:after="0"/>
        <w:contextualSpacing/>
        <w:rPr>
          <w:rFonts w:ascii="Times New Roman" w:hAnsi="Times New Roman"/>
          <w:i/>
          <w:sz w:val="24"/>
          <w:szCs w:val="24"/>
        </w:rPr>
      </w:pPr>
    </w:p>
    <w:p w14:paraId="39F0D831" w14:textId="7CA5F9A9" w:rsidR="00FA6321" w:rsidRPr="00F7232D" w:rsidRDefault="00FA6321" w:rsidP="00FA6321">
      <w:pPr>
        <w:pStyle w:val="Heading2"/>
        <w:spacing w:before="0" w:after="0"/>
        <w:rPr>
          <w:rFonts w:ascii="Times New Roman" w:hAnsi="Times New Roman" w:cs="Times New Roman"/>
          <w:b w:val="0"/>
          <w:bCs w:val="0"/>
          <w:i w:val="0"/>
          <w:iCs w:val="0"/>
          <w:sz w:val="24"/>
          <w:szCs w:val="24"/>
        </w:rPr>
      </w:pPr>
      <w:r w:rsidRPr="00F7232D">
        <w:rPr>
          <w:rFonts w:ascii="Times New Roman" w:hAnsi="Times New Roman" w:cs="Times New Roman"/>
          <w:b w:val="0"/>
          <w:bCs w:val="0"/>
          <w:sz w:val="24"/>
          <w:szCs w:val="24"/>
        </w:rPr>
        <w:t>Introduction</w:t>
      </w:r>
      <w:r w:rsidR="00F7232D" w:rsidRPr="00F7232D">
        <w:rPr>
          <w:rStyle w:val="FootnoteReference"/>
          <w:rFonts w:ascii="Times New Roman" w:hAnsi="Times New Roman" w:cs="Times New Roman"/>
          <w:b w:val="0"/>
          <w:bCs w:val="0"/>
          <w:sz w:val="24"/>
          <w:szCs w:val="24"/>
        </w:rPr>
        <w:footnoteReference w:id="1"/>
      </w:r>
    </w:p>
    <w:p w14:paraId="67A29F73" w14:textId="77777777" w:rsidR="00FA6321" w:rsidRPr="00F7232D" w:rsidRDefault="00FA6321" w:rsidP="00F7232D">
      <w:pPr>
        <w:spacing w:after="0"/>
        <w:rPr>
          <w:rFonts w:ascii="Times New Roman" w:hAnsi="Times New Roman"/>
          <w:sz w:val="24"/>
          <w:szCs w:val="24"/>
        </w:rPr>
      </w:pPr>
    </w:p>
    <w:p w14:paraId="3426683F" w14:textId="0FF93E75"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Universalism is a concept that some ideas apply universally. Applying universalism to the insolvency world fosters the ideal that insolvencies should be mutually recognised in all jurisdictions. Universalists take the view that it is better and more efficient for the administration of an insolvency and better for its creditors for there to be one single process controlled by one office-holder. If there are assets and/or interests in more than one jurisdiction, then these should be remitted to, or controlled by, that one office-holder.</w:t>
      </w:r>
    </w:p>
    <w:p w14:paraId="67DDC067" w14:textId="77777777" w:rsidR="00F7232D" w:rsidRPr="00F7232D" w:rsidRDefault="00F7232D" w:rsidP="00F7232D">
      <w:pPr>
        <w:spacing w:after="0"/>
        <w:rPr>
          <w:rFonts w:ascii="Times New Roman" w:hAnsi="Times New Roman"/>
          <w:sz w:val="24"/>
          <w:szCs w:val="24"/>
        </w:rPr>
      </w:pPr>
    </w:p>
    <w:p w14:paraId="407A0F21" w14:textId="53593932" w:rsidR="00F7232D" w:rsidRPr="00F7232D" w:rsidRDefault="00F7232D" w:rsidP="00F7232D">
      <w:pPr>
        <w:spacing w:after="0"/>
        <w:rPr>
          <w:rFonts w:ascii="Times New Roman" w:hAnsi="Times New Roman"/>
          <w:i/>
          <w:iCs/>
          <w:sz w:val="24"/>
          <w:szCs w:val="24"/>
        </w:rPr>
      </w:pPr>
      <w:r w:rsidRPr="00F7232D">
        <w:rPr>
          <w:rFonts w:ascii="Times New Roman" w:hAnsi="Times New Roman"/>
          <w:i/>
          <w:iCs/>
          <w:sz w:val="24"/>
          <w:szCs w:val="24"/>
        </w:rPr>
        <w:t xml:space="preserve">Modified </w:t>
      </w:r>
      <w:r w:rsidR="004760BA">
        <w:rPr>
          <w:rFonts w:ascii="Times New Roman" w:hAnsi="Times New Roman"/>
          <w:i/>
          <w:iCs/>
          <w:sz w:val="24"/>
          <w:szCs w:val="24"/>
        </w:rPr>
        <w:t>U</w:t>
      </w:r>
      <w:r w:rsidRPr="00F7232D">
        <w:rPr>
          <w:rFonts w:ascii="Times New Roman" w:hAnsi="Times New Roman"/>
          <w:i/>
          <w:iCs/>
          <w:sz w:val="24"/>
          <w:szCs w:val="24"/>
        </w:rPr>
        <w:t>niversalism</w:t>
      </w:r>
    </w:p>
    <w:p w14:paraId="30A67A3F" w14:textId="77777777" w:rsidR="00F7232D" w:rsidRPr="00F7232D" w:rsidRDefault="00F7232D" w:rsidP="00F7232D">
      <w:pPr>
        <w:spacing w:after="0"/>
        <w:rPr>
          <w:rFonts w:ascii="Times New Roman" w:hAnsi="Times New Roman"/>
          <w:sz w:val="24"/>
          <w:szCs w:val="24"/>
        </w:rPr>
      </w:pPr>
    </w:p>
    <w:p w14:paraId="25A34174" w14:textId="5F19FEDE"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While that might be the most efficient way to manage multi-jurisdictional insolvencies, limitations have been imposed or have developed in some jurisdictions. Where it is impossible for there to be a single process, or there are limitations imposed by local rules, then the concept of main and secondary proceedings has evolved, with overall control exercised by the office-holder in the main proceedings.</w:t>
      </w:r>
    </w:p>
    <w:p w14:paraId="0353617F" w14:textId="77777777" w:rsidR="00F7232D" w:rsidRPr="00F7232D" w:rsidRDefault="00F7232D" w:rsidP="00F7232D">
      <w:pPr>
        <w:spacing w:after="0"/>
        <w:rPr>
          <w:rFonts w:ascii="Times New Roman" w:hAnsi="Times New Roman"/>
          <w:sz w:val="24"/>
          <w:szCs w:val="24"/>
        </w:rPr>
      </w:pPr>
    </w:p>
    <w:p w14:paraId="0312B82A" w14:textId="566B8F88"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In England and Wales, a series of judicial decisions have impacted the ambit of universalism and what we have come to know as modified universalism has continued to develop. A series of leading cases have grappled with the concept and our courts have sought to clarify the extent to which it applies.</w:t>
      </w:r>
    </w:p>
    <w:p w14:paraId="776E2626" w14:textId="77777777" w:rsidR="00F7232D" w:rsidRPr="00F7232D" w:rsidRDefault="00F7232D" w:rsidP="00F7232D">
      <w:pPr>
        <w:spacing w:after="0"/>
        <w:rPr>
          <w:rFonts w:ascii="Times New Roman" w:hAnsi="Times New Roman"/>
          <w:sz w:val="24"/>
          <w:szCs w:val="24"/>
        </w:rPr>
      </w:pPr>
    </w:p>
    <w:p w14:paraId="002FDF81" w14:textId="77777777" w:rsidR="00F7232D" w:rsidRPr="00F7232D" w:rsidRDefault="00F7232D" w:rsidP="00F7232D">
      <w:pPr>
        <w:spacing w:after="0"/>
        <w:rPr>
          <w:rFonts w:ascii="Times New Roman" w:hAnsi="Times New Roman"/>
          <w:i/>
          <w:iCs/>
          <w:sz w:val="24"/>
          <w:szCs w:val="24"/>
        </w:rPr>
      </w:pPr>
      <w:r w:rsidRPr="00F7232D">
        <w:rPr>
          <w:rFonts w:ascii="Times New Roman" w:hAnsi="Times New Roman"/>
          <w:i/>
          <w:iCs/>
          <w:sz w:val="24"/>
          <w:szCs w:val="24"/>
        </w:rPr>
        <w:t>Means of assistance</w:t>
      </w:r>
    </w:p>
    <w:p w14:paraId="29C7B34C" w14:textId="77777777" w:rsidR="00F7232D" w:rsidRPr="00F7232D" w:rsidRDefault="00F7232D" w:rsidP="00F7232D">
      <w:pPr>
        <w:spacing w:after="0"/>
        <w:rPr>
          <w:rFonts w:ascii="Times New Roman" w:hAnsi="Times New Roman"/>
          <w:sz w:val="24"/>
          <w:szCs w:val="24"/>
        </w:rPr>
      </w:pPr>
    </w:p>
    <w:p w14:paraId="479E0CD7" w14:textId="55F5610F"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 xml:space="preserve">Before summarising these leading cases, it is important to understand the various means by which overseas insolvencies can be recognised in England and the tools which the English court </w:t>
      </w:r>
      <w:r w:rsidRPr="00F7232D">
        <w:rPr>
          <w:rFonts w:ascii="Times New Roman" w:hAnsi="Times New Roman"/>
          <w:sz w:val="24"/>
          <w:szCs w:val="24"/>
        </w:rPr>
        <w:lastRenderedPageBreak/>
        <w:t>can provide to overseas office-holders to assist them with their management of an insolvency. The rules that have developed have arisen from a mixture of legislation and case-law.</w:t>
      </w:r>
    </w:p>
    <w:p w14:paraId="41996FEA" w14:textId="77777777" w:rsidR="00F7232D" w:rsidRPr="00F7232D" w:rsidRDefault="00F7232D" w:rsidP="00F7232D">
      <w:pPr>
        <w:spacing w:after="0"/>
        <w:rPr>
          <w:rFonts w:ascii="Times New Roman" w:hAnsi="Times New Roman"/>
          <w:sz w:val="24"/>
          <w:szCs w:val="24"/>
        </w:rPr>
      </w:pPr>
    </w:p>
    <w:p w14:paraId="155F6EB1" w14:textId="77777777" w:rsidR="00F7232D" w:rsidRPr="00F7232D" w:rsidRDefault="00F7232D" w:rsidP="00F7232D">
      <w:pPr>
        <w:pStyle w:val="ListParagraph"/>
        <w:numPr>
          <w:ilvl w:val="0"/>
          <w:numId w:val="11"/>
        </w:numPr>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The Cross-Border Insolvency Regulations 2006 (“</w:t>
      </w:r>
      <w:r w:rsidRPr="00F7232D">
        <w:rPr>
          <w:rFonts w:ascii="Times New Roman" w:hAnsi="Times New Roman" w:cs="Times New Roman"/>
          <w:b/>
          <w:bCs/>
          <w:sz w:val="24"/>
          <w:szCs w:val="24"/>
          <w:lang w:val="en-GB"/>
        </w:rPr>
        <w:t>CBIR</w:t>
      </w:r>
      <w:r w:rsidRPr="00F7232D">
        <w:rPr>
          <w:rFonts w:ascii="Times New Roman" w:hAnsi="Times New Roman" w:cs="Times New Roman"/>
          <w:sz w:val="24"/>
          <w:szCs w:val="24"/>
          <w:lang w:val="en-GB"/>
        </w:rPr>
        <w:t>”)</w:t>
      </w:r>
    </w:p>
    <w:p w14:paraId="43D09383" w14:textId="77777777" w:rsidR="00F7232D" w:rsidRDefault="00F7232D" w:rsidP="00F7232D">
      <w:pPr>
        <w:pStyle w:val="ListParagraph"/>
        <w:spacing w:after="0" w:line="240" w:lineRule="auto"/>
        <w:jc w:val="both"/>
        <w:rPr>
          <w:rFonts w:ascii="Times New Roman" w:hAnsi="Times New Roman" w:cs="Times New Roman"/>
          <w:sz w:val="24"/>
          <w:szCs w:val="24"/>
          <w:lang w:val="en-GB"/>
        </w:rPr>
      </w:pPr>
    </w:p>
    <w:p w14:paraId="092636AC" w14:textId="40511AF5"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 xml:space="preserve">The CBIR are the enactment in the UK of the UNCITRAL Model </w:t>
      </w:r>
      <w:r w:rsidR="004760BA">
        <w:rPr>
          <w:rFonts w:ascii="Times New Roman" w:hAnsi="Times New Roman" w:cs="Times New Roman"/>
          <w:sz w:val="24"/>
          <w:szCs w:val="24"/>
          <w:lang w:val="en-GB"/>
        </w:rPr>
        <w:t>L</w:t>
      </w:r>
      <w:r w:rsidRPr="00F7232D">
        <w:rPr>
          <w:rFonts w:ascii="Times New Roman" w:hAnsi="Times New Roman" w:cs="Times New Roman"/>
          <w:sz w:val="24"/>
          <w:szCs w:val="24"/>
          <w:lang w:val="en-GB"/>
        </w:rPr>
        <w:t>aw on Cross-Border Insolvency (“</w:t>
      </w:r>
      <w:r w:rsidRPr="00F7232D">
        <w:rPr>
          <w:rFonts w:ascii="Times New Roman" w:hAnsi="Times New Roman" w:cs="Times New Roman"/>
          <w:b/>
          <w:bCs/>
          <w:sz w:val="24"/>
          <w:szCs w:val="24"/>
          <w:lang w:val="en-GB"/>
        </w:rPr>
        <w:t>Model Law</w:t>
      </w:r>
      <w:r w:rsidRPr="00F7232D">
        <w:rPr>
          <w:rFonts w:ascii="Times New Roman" w:hAnsi="Times New Roman" w:cs="Times New Roman"/>
          <w:sz w:val="24"/>
          <w:szCs w:val="24"/>
          <w:lang w:val="en-GB"/>
        </w:rPr>
        <w:t>”). This was designed to create uniformity in recognition and assistance where there is potentially more than one insolvency proceeding. The CBIR provide for the recognition of foreign main and non-main insolvency proceedings and for the foreign office-holder, once recognised, to obtain certain forms of relief in England.</w:t>
      </w:r>
    </w:p>
    <w:p w14:paraId="1A0C2B12" w14:textId="77777777"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p>
    <w:p w14:paraId="5BE7C71C" w14:textId="02840A91"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To date, over 60 jurisdictions have adopted the Model Law, but the UK does not require reciprocity. In the UK, the CBIR may be utilised even if the jurisdiction where the insolvency was initiated has not adopted the Model Law. There are, however, some limitations on the ability to utilise the CBIR, most notably the need for the insolvent entity (or person) to be subject to the jurisdiction of the state where the insolvency has commenced.</w:t>
      </w:r>
    </w:p>
    <w:p w14:paraId="65CE5FA0" w14:textId="77777777"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p>
    <w:p w14:paraId="393770E4" w14:textId="1A628696" w:rsidR="00F7232D" w:rsidRPr="00F7232D" w:rsidRDefault="00F7232D" w:rsidP="00F7232D">
      <w:pPr>
        <w:pStyle w:val="ListParagraph"/>
        <w:numPr>
          <w:ilvl w:val="0"/>
          <w:numId w:val="11"/>
        </w:numPr>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 xml:space="preserve">Section 426 </w:t>
      </w:r>
      <w:r w:rsidR="004760BA">
        <w:rPr>
          <w:rFonts w:ascii="Times New Roman" w:hAnsi="Times New Roman" w:cs="Times New Roman"/>
          <w:sz w:val="24"/>
          <w:szCs w:val="24"/>
          <w:lang w:val="en-GB"/>
        </w:rPr>
        <w:t xml:space="preserve">of the </w:t>
      </w:r>
      <w:r w:rsidRPr="00F7232D">
        <w:rPr>
          <w:rFonts w:ascii="Times New Roman" w:hAnsi="Times New Roman" w:cs="Times New Roman"/>
          <w:sz w:val="24"/>
          <w:szCs w:val="24"/>
          <w:lang w:val="en-GB"/>
        </w:rPr>
        <w:t>Insolvency Act 1986 (“</w:t>
      </w:r>
      <w:r w:rsidRPr="00F7232D">
        <w:rPr>
          <w:rFonts w:ascii="Times New Roman" w:hAnsi="Times New Roman" w:cs="Times New Roman"/>
          <w:b/>
          <w:bCs/>
          <w:sz w:val="24"/>
          <w:szCs w:val="24"/>
          <w:lang w:val="en-GB"/>
        </w:rPr>
        <w:t>Section 426</w:t>
      </w:r>
      <w:r w:rsidRPr="00F7232D">
        <w:rPr>
          <w:rFonts w:ascii="Times New Roman" w:hAnsi="Times New Roman" w:cs="Times New Roman"/>
          <w:sz w:val="24"/>
          <w:szCs w:val="24"/>
          <w:lang w:val="en-GB"/>
        </w:rPr>
        <w:t>”)</w:t>
      </w:r>
    </w:p>
    <w:p w14:paraId="5A1E4356" w14:textId="77777777" w:rsidR="00F7232D" w:rsidRDefault="00F7232D" w:rsidP="00F7232D">
      <w:pPr>
        <w:pStyle w:val="ListParagraph"/>
        <w:spacing w:after="0" w:line="240" w:lineRule="auto"/>
        <w:jc w:val="both"/>
        <w:rPr>
          <w:rFonts w:ascii="Times New Roman" w:hAnsi="Times New Roman" w:cs="Times New Roman"/>
          <w:sz w:val="24"/>
          <w:szCs w:val="24"/>
          <w:lang w:val="en-GB"/>
        </w:rPr>
      </w:pPr>
    </w:p>
    <w:p w14:paraId="1EF2A6A8" w14:textId="12657AA2"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This section of our main insolvency legislation was designed for UK courts to cooperate with courts in other jurisdictions, allowing for the recognition of overseas insolvencies and for reciprocal arrangements. It is only available for insolvencies originating in mostly commonwealth countries and cannot be utilised more widely.</w:t>
      </w:r>
    </w:p>
    <w:p w14:paraId="5DF04DFA" w14:textId="77777777"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p>
    <w:p w14:paraId="66EC4C94" w14:textId="1E95FCD3" w:rsidR="00F7232D" w:rsidRPr="00F7232D" w:rsidRDefault="00F7232D" w:rsidP="00F7232D">
      <w:pPr>
        <w:pStyle w:val="ListParagraph"/>
        <w:numPr>
          <w:ilvl w:val="0"/>
          <w:numId w:val="11"/>
        </w:numPr>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The EC Regulation on insolvency proceedings (Council Regulation (EC) No. 1346/2000) (“</w:t>
      </w:r>
      <w:r w:rsidRPr="00F7232D">
        <w:rPr>
          <w:rFonts w:ascii="Times New Roman" w:hAnsi="Times New Roman" w:cs="Times New Roman"/>
          <w:b/>
          <w:bCs/>
          <w:sz w:val="24"/>
          <w:szCs w:val="24"/>
          <w:lang w:val="en-GB"/>
        </w:rPr>
        <w:t>EC Reg</w:t>
      </w:r>
      <w:r w:rsidRPr="00F7232D">
        <w:rPr>
          <w:rFonts w:ascii="Times New Roman" w:hAnsi="Times New Roman" w:cs="Times New Roman"/>
          <w:sz w:val="24"/>
          <w:szCs w:val="24"/>
          <w:lang w:val="en-GB"/>
        </w:rPr>
        <w:t>”)</w:t>
      </w:r>
    </w:p>
    <w:p w14:paraId="5BA2DBF2" w14:textId="77777777" w:rsidR="00F7232D" w:rsidRDefault="00F7232D" w:rsidP="00F7232D">
      <w:pPr>
        <w:pStyle w:val="ListParagraph"/>
        <w:spacing w:after="0" w:line="240" w:lineRule="auto"/>
        <w:jc w:val="both"/>
        <w:rPr>
          <w:rFonts w:ascii="Times New Roman" w:hAnsi="Times New Roman" w:cs="Times New Roman"/>
          <w:sz w:val="24"/>
          <w:szCs w:val="24"/>
          <w:lang w:val="en-GB"/>
        </w:rPr>
      </w:pPr>
    </w:p>
    <w:p w14:paraId="1242C507" w14:textId="560A13B5"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Following Brexit, this is only available for insolvencies which began before 26 June 2017. It was a key insolvency provision for insolvencies originating within the EU, providing for a streamlined system of recognition and cooperation along universalist lines.</w:t>
      </w:r>
    </w:p>
    <w:p w14:paraId="268D494E" w14:textId="77777777"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p>
    <w:p w14:paraId="1541EBD0" w14:textId="77777777" w:rsidR="00F7232D" w:rsidRPr="00F7232D" w:rsidRDefault="00F7232D" w:rsidP="00F7232D">
      <w:pPr>
        <w:pStyle w:val="ListParagraph"/>
        <w:numPr>
          <w:ilvl w:val="0"/>
          <w:numId w:val="11"/>
        </w:numPr>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The Common Law</w:t>
      </w:r>
    </w:p>
    <w:p w14:paraId="5CE176FF" w14:textId="77777777" w:rsidR="00F7232D" w:rsidRDefault="00F7232D" w:rsidP="00F7232D">
      <w:pPr>
        <w:pStyle w:val="ListParagraph"/>
        <w:spacing w:after="0" w:line="240" w:lineRule="auto"/>
        <w:jc w:val="both"/>
        <w:rPr>
          <w:rFonts w:ascii="Times New Roman" w:hAnsi="Times New Roman" w:cs="Times New Roman"/>
          <w:sz w:val="24"/>
          <w:szCs w:val="24"/>
          <w:lang w:val="en-GB"/>
        </w:rPr>
      </w:pPr>
    </w:p>
    <w:p w14:paraId="1D004010" w14:textId="11DCC0E9" w:rsidR="00F7232D" w:rsidRPr="00F7232D" w:rsidRDefault="00F7232D" w:rsidP="00F7232D">
      <w:pPr>
        <w:pStyle w:val="ListParagraph"/>
        <w:spacing w:after="0" w:line="240" w:lineRule="auto"/>
        <w:jc w:val="both"/>
        <w:rPr>
          <w:rFonts w:ascii="Times New Roman" w:hAnsi="Times New Roman" w:cs="Times New Roman"/>
          <w:sz w:val="24"/>
          <w:szCs w:val="24"/>
          <w:lang w:val="en-GB"/>
        </w:rPr>
      </w:pPr>
      <w:r w:rsidRPr="00F7232D">
        <w:rPr>
          <w:rFonts w:ascii="Times New Roman" w:hAnsi="Times New Roman" w:cs="Times New Roman"/>
          <w:sz w:val="24"/>
          <w:szCs w:val="24"/>
          <w:lang w:val="en-GB"/>
        </w:rPr>
        <w:t>The English Common Law provides for some assistance and cooperation. Overseas insolvencies may be recognised in England but there is only limited assistance available thereafter as discussed below.</w:t>
      </w:r>
    </w:p>
    <w:p w14:paraId="7CB6A9E9" w14:textId="77777777" w:rsidR="00F7232D" w:rsidRDefault="00F7232D" w:rsidP="00F7232D">
      <w:pPr>
        <w:spacing w:after="0"/>
        <w:rPr>
          <w:rFonts w:ascii="Times New Roman" w:hAnsi="Times New Roman"/>
          <w:b/>
          <w:bCs/>
          <w:sz w:val="24"/>
          <w:szCs w:val="24"/>
        </w:rPr>
      </w:pPr>
    </w:p>
    <w:p w14:paraId="2DA673D0" w14:textId="5B3A67E3" w:rsidR="00F7232D" w:rsidRPr="00F7232D" w:rsidRDefault="00F7232D" w:rsidP="00F7232D">
      <w:pPr>
        <w:spacing w:after="0"/>
        <w:rPr>
          <w:rFonts w:ascii="Times New Roman" w:hAnsi="Times New Roman"/>
          <w:i/>
          <w:iCs/>
          <w:sz w:val="24"/>
          <w:szCs w:val="24"/>
        </w:rPr>
      </w:pPr>
      <w:r w:rsidRPr="00F7232D">
        <w:rPr>
          <w:rFonts w:ascii="Times New Roman" w:hAnsi="Times New Roman"/>
          <w:i/>
          <w:iCs/>
          <w:sz w:val="24"/>
          <w:szCs w:val="24"/>
        </w:rPr>
        <w:t xml:space="preserve">How the </w:t>
      </w:r>
      <w:r w:rsidR="004760BA">
        <w:rPr>
          <w:rFonts w:ascii="Times New Roman" w:hAnsi="Times New Roman"/>
          <w:i/>
          <w:iCs/>
          <w:sz w:val="24"/>
          <w:szCs w:val="24"/>
        </w:rPr>
        <w:t>C</w:t>
      </w:r>
      <w:r w:rsidRPr="00F7232D">
        <w:rPr>
          <w:rFonts w:ascii="Times New Roman" w:hAnsi="Times New Roman"/>
          <w:i/>
          <w:iCs/>
          <w:sz w:val="24"/>
          <w:szCs w:val="24"/>
        </w:rPr>
        <w:t xml:space="preserve">ourts have developed the </w:t>
      </w:r>
      <w:r w:rsidR="004760BA">
        <w:rPr>
          <w:rFonts w:ascii="Times New Roman" w:hAnsi="Times New Roman"/>
          <w:i/>
          <w:iCs/>
          <w:sz w:val="24"/>
          <w:szCs w:val="24"/>
        </w:rPr>
        <w:t>L</w:t>
      </w:r>
      <w:r w:rsidRPr="00F7232D">
        <w:rPr>
          <w:rFonts w:ascii="Times New Roman" w:hAnsi="Times New Roman"/>
          <w:i/>
          <w:iCs/>
          <w:sz w:val="24"/>
          <w:szCs w:val="24"/>
        </w:rPr>
        <w:t>aw</w:t>
      </w:r>
    </w:p>
    <w:p w14:paraId="7527ED83" w14:textId="77777777" w:rsidR="00F7232D" w:rsidRDefault="00F7232D" w:rsidP="00F7232D">
      <w:pPr>
        <w:spacing w:after="0"/>
        <w:rPr>
          <w:rFonts w:ascii="Times New Roman" w:hAnsi="Times New Roman"/>
          <w:sz w:val="24"/>
          <w:szCs w:val="24"/>
        </w:rPr>
      </w:pPr>
    </w:p>
    <w:p w14:paraId="65B5CFC5" w14:textId="13529CB5" w:rsidR="00F7232D" w:rsidRDefault="00F7232D" w:rsidP="00F7232D">
      <w:pPr>
        <w:spacing w:after="0"/>
        <w:rPr>
          <w:rFonts w:ascii="Times New Roman" w:hAnsi="Times New Roman"/>
          <w:sz w:val="24"/>
          <w:szCs w:val="24"/>
        </w:rPr>
      </w:pPr>
      <w:r w:rsidRPr="00F7232D">
        <w:rPr>
          <w:rFonts w:ascii="Times New Roman" w:hAnsi="Times New Roman"/>
          <w:sz w:val="24"/>
          <w:szCs w:val="24"/>
        </w:rPr>
        <w:t>A series of leading cases have determined the extent to which universalism applies in England.</w:t>
      </w:r>
    </w:p>
    <w:p w14:paraId="63527929" w14:textId="77777777" w:rsidR="00F7232D" w:rsidRPr="00F7232D" w:rsidRDefault="00F7232D" w:rsidP="00F7232D">
      <w:pPr>
        <w:spacing w:after="0"/>
        <w:rPr>
          <w:rFonts w:ascii="Times New Roman" w:hAnsi="Times New Roman"/>
          <w:sz w:val="24"/>
          <w:szCs w:val="24"/>
        </w:rPr>
      </w:pPr>
    </w:p>
    <w:p w14:paraId="0AF0B746" w14:textId="77777777" w:rsidR="00F7232D" w:rsidRPr="00F7232D" w:rsidRDefault="00F7232D" w:rsidP="00F7232D">
      <w:pPr>
        <w:pStyle w:val="ListParagraph"/>
        <w:numPr>
          <w:ilvl w:val="0"/>
          <w:numId w:val="12"/>
        </w:numPr>
        <w:spacing w:after="0" w:line="240" w:lineRule="auto"/>
        <w:jc w:val="both"/>
        <w:rPr>
          <w:rFonts w:ascii="Times New Roman" w:hAnsi="Times New Roman" w:cs="Times New Roman"/>
          <w:i/>
          <w:iCs/>
          <w:sz w:val="24"/>
          <w:szCs w:val="24"/>
          <w:lang w:val="en-GB"/>
        </w:rPr>
      </w:pPr>
      <w:r w:rsidRPr="00F7232D">
        <w:rPr>
          <w:rFonts w:ascii="Times New Roman" w:hAnsi="Times New Roman" w:cs="Times New Roman"/>
          <w:i/>
          <w:iCs/>
          <w:sz w:val="24"/>
          <w:szCs w:val="24"/>
          <w:lang w:val="en-GB"/>
        </w:rPr>
        <w:t xml:space="preserve">Cambridge Gas Transportation Corpn v Official Committee of Unsecured Creditors of Navigator Holdings plc </w:t>
      </w:r>
      <w:r w:rsidRPr="00F7232D">
        <w:rPr>
          <w:rFonts w:ascii="Times New Roman" w:hAnsi="Times New Roman" w:cs="Times New Roman"/>
          <w:sz w:val="24"/>
          <w:szCs w:val="24"/>
          <w:lang w:val="en-GB"/>
        </w:rPr>
        <w:t>[2006] UKPC 26 (“</w:t>
      </w:r>
      <w:r w:rsidRPr="00F7232D">
        <w:rPr>
          <w:rFonts w:ascii="Times New Roman" w:hAnsi="Times New Roman" w:cs="Times New Roman"/>
          <w:b/>
          <w:bCs/>
          <w:sz w:val="24"/>
          <w:szCs w:val="24"/>
          <w:lang w:val="en-GB"/>
        </w:rPr>
        <w:t>Cambridge Gas</w:t>
      </w:r>
      <w:r w:rsidRPr="00F7232D">
        <w:rPr>
          <w:rFonts w:ascii="Times New Roman" w:hAnsi="Times New Roman" w:cs="Times New Roman"/>
          <w:sz w:val="24"/>
          <w:szCs w:val="24"/>
          <w:lang w:val="en-GB"/>
        </w:rPr>
        <w:t>”).</w:t>
      </w:r>
    </w:p>
    <w:p w14:paraId="6946800D" w14:textId="77777777" w:rsidR="00F7232D" w:rsidRDefault="00F7232D" w:rsidP="00F7232D">
      <w:pPr>
        <w:spacing w:after="0"/>
        <w:rPr>
          <w:rFonts w:ascii="Times New Roman" w:hAnsi="Times New Roman"/>
          <w:sz w:val="24"/>
          <w:szCs w:val="24"/>
        </w:rPr>
      </w:pPr>
    </w:p>
    <w:p w14:paraId="4FB3B1D3" w14:textId="6DFEF694"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 xml:space="preserve">In </w:t>
      </w:r>
      <w:r w:rsidRPr="00F7232D">
        <w:rPr>
          <w:rFonts w:ascii="Times New Roman" w:hAnsi="Times New Roman"/>
          <w:i/>
          <w:iCs/>
          <w:sz w:val="24"/>
          <w:szCs w:val="24"/>
        </w:rPr>
        <w:t>Cambridge Gas</w:t>
      </w:r>
      <w:r w:rsidRPr="00F7232D">
        <w:rPr>
          <w:rFonts w:ascii="Times New Roman" w:hAnsi="Times New Roman"/>
          <w:sz w:val="24"/>
          <w:szCs w:val="24"/>
        </w:rPr>
        <w:t>, the UK Privy Council (“</w:t>
      </w:r>
      <w:r w:rsidRPr="00F7232D">
        <w:rPr>
          <w:rFonts w:ascii="Times New Roman" w:hAnsi="Times New Roman"/>
          <w:b/>
          <w:bCs/>
          <w:sz w:val="24"/>
          <w:szCs w:val="24"/>
        </w:rPr>
        <w:t>UKPC</w:t>
      </w:r>
      <w:r w:rsidRPr="00F7232D">
        <w:rPr>
          <w:rFonts w:ascii="Times New Roman" w:hAnsi="Times New Roman"/>
          <w:sz w:val="24"/>
          <w:szCs w:val="24"/>
        </w:rPr>
        <w:t xml:space="preserve">”) decided that the Isle of Man court had power to assist a creditors’ committee appointed under Chapter 11 of the US Bankruptcy Code. </w:t>
      </w:r>
      <w:r w:rsidRPr="00F7232D">
        <w:rPr>
          <w:rFonts w:ascii="Times New Roman" w:hAnsi="Times New Roman"/>
          <w:sz w:val="24"/>
          <w:szCs w:val="24"/>
        </w:rPr>
        <w:lastRenderedPageBreak/>
        <w:t>The US court had asked the Manx court to give it assistance at common law and to transfer shares in a Manx company.</w:t>
      </w:r>
    </w:p>
    <w:p w14:paraId="5BDAC5FA" w14:textId="77777777" w:rsidR="00F7232D" w:rsidRDefault="00F7232D" w:rsidP="00F7232D">
      <w:pPr>
        <w:spacing w:after="0"/>
        <w:rPr>
          <w:rFonts w:ascii="Times New Roman" w:hAnsi="Times New Roman"/>
          <w:sz w:val="24"/>
          <w:szCs w:val="24"/>
        </w:rPr>
      </w:pPr>
    </w:p>
    <w:p w14:paraId="61A37B64" w14:textId="68CFED2D" w:rsidR="00F7232D" w:rsidRDefault="00F7232D" w:rsidP="00F7232D">
      <w:pPr>
        <w:spacing w:after="0"/>
        <w:rPr>
          <w:rFonts w:ascii="Times New Roman" w:hAnsi="Times New Roman"/>
          <w:sz w:val="24"/>
          <w:szCs w:val="24"/>
        </w:rPr>
      </w:pPr>
      <w:r w:rsidRPr="00F7232D">
        <w:rPr>
          <w:rFonts w:ascii="Times New Roman" w:hAnsi="Times New Roman"/>
          <w:sz w:val="24"/>
          <w:szCs w:val="24"/>
        </w:rPr>
        <w:t xml:space="preserve">The UKPC found that bankruptcy proceedings are neither judgments </w:t>
      </w:r>
      <w:r w:rsidRPr="00F7232D">
        <w:rPr>
          <w:rFonts w:ascii="Times New Roman" w:hAnsi="Times New Roman"/>
          <w:i/>
          <w:iCs/>
          <w:sz w:val="24"/>
          <w:szCs w:val="24"/>
        </w:rPr>
        <w:t>in rem</w:t>
      </w:r>
      <w:r w:rsidRPr="00F7232D">
        <w:rPr>
          <w:rFonts w:ascii="Times New Roman" w:hAnsi="Times New Roman"/>
          <w:sz w:val="24"/>
          <w:szCs w:val="24"/>
        </w:rPr>
        <w:t xml:space="preserve"> nor </w:t>
      </w:r>
      <w:r w:rsidRPr="00F7232D">
        <w:rPr>
          <w:rFonts w:ascii="Times New Roman" w:hAnsi="Times New Roman"/>
          <w:i/>
          <w:iCs/>
          <w:sz w:val="24"/>
          <w:szCs w:val="24"/>
        </w:rPr>
        <w:t>in personam</w:t>
      </w:r>
      <w:r w:rsidRPr="00F7232D">
        <w:rPr>
          <w:rFonts w:ascii="Times New Roman" w:hAnsi="Times New Roman"/>
          <w:sz w:val="24"/>
          <w:szCs w:val="24"/>
        </w:rPr>
        <w:t xml:space="preserve"> and the rules of private international law do not apply to the recognition and enforcement of insolvency judgments</w:t>
      </w:r>
      <w:r>
        <w:rPr>
          <w:rFonts w:ascii="Times New Roman" w:hAnsi="Times New Roman"/>
          <w:sz w:val="24"/>
          <w:szCs w:val="24"/>
        </w:rPr>
        <w:t xml:space="preserve">. </w:t>
      </w:r>
      <w:r w:rsidRPr="00F7232D">
        <w:rPr>
          <w:rFonts w:ascii="Times New Roman" w:hAnsi="Times New Roman"/>
          <w:sz w:val="24"/>
          <w:szCs w:val="24"/>
        </w:rPr>
        <w:t>Lord Hoffmann, giving the sole judgment, noted that the principle of universality is given effect in England by the recognition of the overseas office-holder and is the basis for the common law principles of international insolvency.</w:t>
      </w:r>
    </w:p>
    <w:p w14:paraId="0BCAD395" w14:textId="77777777" w:rsidR="00F7232D" w:rsidRPr="00F7232D" w:rsidRDefault="00F7232D" w:rsidP="00F7232D">
      <w:pPr>
        <w:spacing w:after="0"/>
        <w:rPr>
          <w:rFonts w:ascii="Times New Roman" w:hAnsi="Times New Roman"/>
          <w:sz w:val="24"/>
          <w:szCs w:val="24"/>
        </w:rPr>
      </w:pPr>
    </w:p>
    <w:p w14:paraId="101B3480" w14:textId="67CCC594" w:rsidR="00F7232D" w:rsidRDefault="00F7232D" w:rsidP="00F7232D">
      <w:pPr>
        <w:spacing w:after="0"/>
        <w:rPr>
          <w:rFonts w:ascii="Times New Roman" w:hAnsi="Times New Roman"/>
          <w:sz w:val="24"/>
          <w:szCs w:val="24"/>
        </w:rPr>
      </w:pPr>
      <w:r>
        <w:rPr>
          <w:rFonts w:ascii="Times New Roman" w:hAnsi="Times New Roman"/>
          <w:sz w:val="24"/>
          <w:szCs w:val="24"/>
        </w:rPr>
        <w:t>At</w:t>
      </w:r>
      <w:r w:rsidRPr="00F7232D">
        <w:rPr>
          <w:rFonts w:ascii="Times New Roman" w:hAnsi="Times New Roman"/>
          <w:sz w:val="24"/>
          <w:szCs w:val="24"/>
        </w:rPr>
        <w:t xml:space="preserve"> paragraph 19 of the judgment, he went so far as to say that although there is no automatic vesting of immovable property belonging to a foreign bankrupt</w:t>
      </w:r>
      <w:r>
        <w:rPr>
          <w:rFonts w:ascii="Times New Roman" w:hAnsi="Times New Roman"/>
          <w:sz w:val="24"/>
          <w:szCs w:val="24"/>
        </w:rPr>
        <w:t>:</w:t>
      </w:r>
    </w:p>
    <w:p w14:paraId="3B5C71EB" w14:textId="77777777" w:rsidR="00F7232D" w:rsidRDefault="00F7232D" w:rsidP="00F7232D">
      <w:pPr>
        <w:spacing w:after="0"/>
        <w:rPr>
          <w:rFonts w:ascii="Times New Roman" w:hAnsi="Times New Roman"/>
          <w:sz w:val="24"/>
          <w:szCs w:val="24"/>
        </w:rPr>
      </w:pPr>
    </w:p>
    <w:p w14:paraId="57C19726" w14:textId="6D27F4B6" w:rsidR="00F7232D" w:rsidRPr="00F7232D" w:rsidRDefault="00F7232D" w:rsidP="00F7232D">
      <w:pPr>
        <w:spacing w:after="0"/>
        <w:ind w:left="720"/>
        <w:rPr>
          <w:rFonts w:ascii="Times New Roman" w:hAnsi="Times New Roman"/>
          <w:i/>
          <w:iCs/>
          <w:sz w:val="24"/>
          <w:szCs w:val="24"/>
        </w:rPr>
      </w:pPr>
      <w:r w:rsidRPr="00F7232D">
        <w:rPr>
          <w:rFonts w:ascii="Times New Roman" w:hAnsi="Times New Roman"/>
          <w:i/>
          <w:iCs/>
          <w:sz w:val="24"/>
          <w:szCs w:val="24"/>
        </w:rPr>
        <w:t>“the English court has a discretion to assist the foreign trustee by enabling him to obtain title or to otherwise deal with the property</w:t>
      </w:r>
      <w:r>
        <w:rPr>
          <w:rFonts w:ascii="Times New Roman" w:hAnsi="Times New Roman"/>
          <w:i/>
          <w:iCs/>
          <w:sz w:val="24"/>
          <w:szCs w:val="24"/>
        </w:rPr>
        <w:t>.</w:t>
      </w:r>
      <w:r w:rsidRPr="00F7232D">
        <w:rPr>
          <w:rFonts w:ascii="Times New Roman" w:hAnsi="Times New Roman"/>
          <w:i/>
          <w:iCs/>
          <w:sz w:val="24"/>
          <w:szCs w:val="24"/>
        </w:rPr>
        <w:t>”</w:t>
      </w:r>
    </w:p>
    <w:p w14:paraId="2E822CED" w14:textId="77777777" w:rsidR="00F7232D" w:rsidRDefault="00F7232D" w:rsidP="00F7232D">
      <w:pPr>
        <w:spacing w:after="0"/>
        <w:rPr>
          <w:rFonts w:ascii="Times New Roman" w:hAnsi="Times New Roman"/>
          <w:sz w:val="24"/>
          <w:szCs w:val="24"/>
        </w:rPr>
      </w:pPr>
    </w:p>
    <w:p w14:paraId="38D07541" w14:textId="37B35E16"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Lord Hoffman (</w:t>
      </w:r>
      <w:r>
        <w:rPr>
          <w:rFonts w:ascii="Times New Roman" w:hAnsi="Times New Roman"/>
          <w:sz w:val="24"/>
          <w:szCs w:val="24"/>
        </w:rPr>
        <w:t>at</w:t>
      </w:r>
      <w:r w:rsidRPr="00F7232D">
        <w:rPr>
          <w:rFonts w:ascii="Times New Roman" w:hAnsi="Times New Roman"/>
          <w:sz w:val="24"/>
          <w:szCs w:val="24"/>
        </w:rPr>
        <w:t xml:space="preserve"> paragraph 22) also noted that although the court doubted whether the provisions of the foreign insolvency could be applied in England at common law, the English court must be able to apply the provisions of domestic assistance.  </w:t>
      </w:r>
    </w:p>
    <w:p w14:paraId="18DFE4CA" w14:textId="77777777" w:rsidR="00F7232D" w:rsidRDefault="00F7232D" w:rsidP="00F7232D">
      <w:pPr>
        <w:spacing w:after="0"/>
        <w:rPr>
          <w:rFonts w:ascii="Times New Roman" w:hAnsi="Times New Roman"/>
          <w:sz w:val="24"/>
          <w:szCs w:val="24"/>
        </w:rPr>
      </w:pPr>
    </w:p>
    <w:p w14:paraId="302F2065" w14:textId="7B10DB34" w:rsidR="00F7232D" w:rsidRDefault="00F7232D" w:rsidP="00F7232D">
      <w:pPr>
        <w:spacing w:after="0"/>
        <w:rPr>
          <w:rFonts w:ascii="Times New Roman" w:hAnsi="Times New Roman"/>
          <w:sz w:val="24"/>
          <w:szCs w:val="24"/>
        </w:rPr>
      </w:pPr>
      <w:r w:rsidRPr="00F7232D">
        <w:rPr>
          <w:rFonts w:ascii="Times New Roman" w:hAnsi="Times New Roman"/>
          <w:sz w:val="24"/>
          <w:szCs w:val="24"/>
        </w:rPr>
        <w:t>Three key principles emerge from Cambridge Gas: (1) that a UK court has a duty to assist a foreign office-holder; (2) that it may exercise a common law power to do whatever it may do in a UK insolvency</w:t>
      </w:r>
      <w:r w:rsidR="004760BA">
        <w:rPr>
          <w:rFonts w:ascii="Times New Roman" w:hAnsi="Times New Roman"/>
          <w:sz w:val="24"/>
          <w:szCs w:val="24"/>
        </w:rPr>
        <w:t>;</w:t>
      </w:r>
      <w:r w:rsidRPr="00F7232D">
        <w:rPr>
          <w:rFonts w:ascii="Times New Roman" w:hAnsi="Times New Roman"/>
          <w:sz w:val="24"/>
          <w:szCs w:val="24"/>
        </w:rPr>
        <w:t xml:space="preserve"> and (3) it has jurisdiction over the parties owing to its power to assist.</w:t>
      </w:r>
    </w:p>
    <w:p w14:paraId="6178CD5A" w14:textId="77777777" w:rsidR="00F7232D" w:rsidRPr="00F7232D" w:rsidRDefault="00F7232D" w:rsidP="00F7232D">
      <w:pPr>
        <w:spacing w:after="0"/>
        <w:rPr>
          <w:rFonts w:ascii="Times New Roman" w:hAnsi="Times New Roman"/>
          <w:sz w:val="24"/>
          <w:szCs w:val="24"/>
        </w:rPr>
      </w:pPr>
    </w:p>
    <w:p w14:paraId="1AFA9E1B" w14:textId="77777777" w:rsidR="00F7232D" w:rsidRPr="00F7232D" w:rsidRDefault="00F7232D" w:rsidP="00F7232D">
      <w:pPr>
        <w:pStyle w:val="ListParagraph"/>
        <w:numPr>
          <w:ilvl w:val="0"/>
          <w:numId w:val="12"/>
        </w:numPr>
        <w:spacing w:after="0" w:line="240" w:lineRule="auto"/>
        <w:jc w:val="both"/>
        <w:rPr>
          <w:rFonts w:ascii="Times New Roman" w:hAnsi="Times New Roman" w:cs="Times New Roman"/>
          <w:i/>
          <w:iCs/>
          <w:sz w:val="24"/>
          <w:szCs w:val="24"/>
          <w:lang w:val="en-GB"/>
        </w:rPr>
      </w:pPr>
      <w:r w:rsidRPr="00F7232D">
        <w:rPr>
          <w:rFonts w:ascii="Times New Roman" w:hAnsi="Times New Roman" w:cs="Times New Roman"/>
          <w:i/>
          <w:iCs/>
          <w:sz w:val="24"/>
          <w:szCs w:val="24"/>
          <w:lang w:val="en-GB"/>
        </w:rPr>
        <w:t xml:space="preserve">Re HIH Casualty and General Insurance Ltd </w:t>
      </w:r>
      <w:r w:rsidRPr="00F7232D">
        <w:rPr>
          <w:rFonts w:ascii="Times New Roman" w:hAnsi="Times New Roman" w:cs="Times New Roman"/>
          <w:sz w:val="24"/>
          <w:szCs w:val="24"/>
          <w:lang w:val="en-GB"/>
        </w:rPr>
        <w:t>[2008], 1 WLR 852 (“</w:t>
      </w:r>
      <w:r w:rsidRPr="00F7232D">
        <w:rPr>
          <w:rFonts w:ascii="Times New Roman" w:hAnsi="Times New Roman" w:cs="Times New Roman"/>
          <w:b/>
          <w:bCs/>
          <w:sz w:val="24"/>
          <w:szCs w:val="24"/>
          <w:lang w:val="en-GB"/>
        </w:rPr>
        <w:t>HIH</w:t>
      </w:r>
      <w:r w:rsidRPr="00F7232D">
        <w:rPr>
          <w:rFonts w:ascii="Times New Roman" w:hAnsi="Times New Roman" w:cs="Times New Roman"/>
          <w:sz w:val="24"/>
          <w:szCs w:val="24"/>
          <w:lang w:val="en-GB"/>
        </w:rPr>
        <w:t>”)</w:t>
      </w:r>
    </w:p>
    <w:p w14:paraId="09744C3E" w14:textId="77777777" w:rsidR="00F7232D" w:rsidRDefault="00F7232D" w:rsidP="00F7232D">
      <w:pPr>
        <w:spacing w:after="0"/>
        <w:rPr>
          <w:rFonts w:ascii="Times New Roman" w:hAnsi="Times New Roman"/>
          <w:sz w:val="24"/>
          <w:szCs w:val="24"/>
        </w:rPr>
      </w:pPr>
    </w:p>
    <w:p w14:paraId="1B903C5D" w14:textId="6B3B0A64" w:rsidR="00F7232D" w:rsidRDefault="00F7232D" w:rsidP="00F7232D">
      <w:pPr>
        <w:spacing w:after="0"/>
        <w:rPr>
          <w:rFonts w:ascii="Times New Roman" w:hAnsi="Times New Roman"/>
          <w:sz w:val="24"/>
          <w:szCs w:val="24"/>
        </w:rPr>
      </w:pPr>
      <w:r w:rsidRPr="00F7232D">
        <w:rPr>
          <w:rFonts w:ascii="Times New Roman" w:hAnsi="Times New Roman"/>
          <w:sz w:val="24"/>
          <w:szCs w:val="24"/>
        </w:rPr>
        <w:t xml:space="preserve">In </w:t>
      </w:r>
      <w:r w:rsidRPr="00F7232D">
        <w:rPr>
          <w:rFonts w:ascii="Times New Roman" w:hAnsi="Times New Roman"/>
          <w:i/>
          <w:iCs/>
          <w:sz w:val="24"/>
          <w:szCs w:val="24"/>
        </w:rPr>
        <w:t>HIH</w:t>
      </w:r>
      <w:r w:rsidRPr="00F7232D">
        <w:rPr>
          <w:rFonts w:ascii="Times New Roman" w:hAnsi="Times New Roman"/>
          <w:sz w:val="24"/>
          <w:szCs w:val="24"/>
        </w:rPr>
        <w:t xml:space="preserve">, the House of Lords directed that the English assets of four insurance companies being wound up in Australia should be remitted to Australia for distribution. The application for assistance was made under </w:t>
      </w:r>
      <w:r>
        <w:rPr>
          <w:rFonts w:ascii="Times New Roman" w:hAnsi="Times New Roman"/>
          <w:sz w:val="24"/>
          <w:szCs w:val="24"/>
        </w:rPr>
        <w:t>s</w:t>
      </w:r>
      <w:r w:rsidRPr="00F7232D">
        <w:rPr>
          <w:rFonts w:ascii="Times New Roman" w:hAnsi="Times New Roman"/>
          <w:sz w:val="24"/>
          <w:szCs w:val="24"/>
        </w:rPr>
        <w:t>ection</w:t>
      </w:r>
      <w:r>
        <w:rPr>
          <w:rFonts w:ascii="Times New Roman" w:hAnsi="Times New Roman"/>
          <w:sz w:val="24"/>
          <w:szCs w:val="24"/>
        </w:rPr>
        <w:t xml:space="preserve"> </w:t>
      </w:r>
      <w:r w:rsidRPr="00F7232D">
        <w:rPr>
          <w:rFonts w:ascii="Times New Roman" w:hAnsi="Times New Roman"/>
          <w:sz w:val="24"/>
          <w:szCs w:val="24"/>
        </w:rPr>
        <w:t>426</w:t>
      </w:r>
      <w:r>
        <w:rPr>
          <w:rFonts w:ascii="Times New Roman" w:hAnsi="Times New Roman"/>
          <w:sz w:val="24"/>
          <w:szCs w:val="24"/>
        </w:rPr>
        <w:t>,</w:t>
      </w:r>
      <w:r w:rsidRPr="00F7232D">
        <w:rPr>
          <w:rFonts w:ascii="Times New Roman" w:hAnsi="Times New Roman"/>
          <w:sz w:val="24"/>
          <w:szCs w:val="24"/>
        </w:rPr>
        <w:t xml:space="preserve"> but the court exercised its common law power.</w:t>
      </w:r>
    </w:p>
    <w:p w14:paraId="338E33A3" w14:textId="77777777" w:rsidR="00F7232D" w:rsidRPr="00F7232D" w:rsidRDefault="00F7232D" w:rsidP="00F7232D">
      <w:pPr>
        <w:spacing w:after="0"/>
        <w:rPr>
          <w:rFonts w:ascii="Times New Roman" w:hAnsi="Times New Roman"/>
          <w:sz w:val="24"/>
          <w:szCs w:val="24"/>
        </w:rPr>
      </w:pPr>
    </w:p>
    <w:p w14:paraId="07688B5D" w14:textId="77777777" w:rsidR="00F7232D" w:rsidRPr="00F7232D" w:rsidRDefault="00F7232D" w:rsidP="00F7232D">
      <w:pPr>
        <w:pStyle w:val="ListParagraph"/>
        <w:numPr>
          <w:ilvl w:val="0"/>
          <w:numId w:val="12"/>
        </w:numPr>
        <w:spacing w:after="0" w:line="240" w:lineRule="auto"/>
        <w:jc w:val="both"/>
        <w:rPr>
          <w:rFonts w:ascii="Times New Roman" w:hAnsi="Times New Roman" w:cs="Times New Roman"/>
          <w:i/>
          <w:iCs/>
          <w:sz w:val="24"/>
          <w:szCs w:val="24"/>
          <w:lang w:val="en-GB"/>
        </w:rPr>
      </w:pPr>
      <w:r w:rsidRPr="00F7232D">
        <w:rPr>
          <w:rFonts w:ascii="Times New Roman" w:hAnsi="Times New Roman" w:cs="Times New Roman"/>
          <w:i/>
          <w:iCs/>
          <w:sz w:val="24"/>
          <w:szCs w:val="24"/>
          <w:lang w:val="en-GB"/>
        </w:rPr>
        <w:t xml:space="preserve">Rubin v Eurofinance SA </w:t>
      </w:r>
      <w:r w:rsidRPr="00F7232D">
        <w:rPr>
          <w:rFonts w:ascii="Times New Roman" w:hAnsi="Times New Roman" w:cs="Times New Roman"/>
          <w:sz w:val="24"/>
          <w:szCs w:val="24"/>
          <w:lang w:val="en-GB"/>
        </w:rPr>
        <w:t>[2012] UKSC 26 (“</w:t>
      </w:r>
      <w:r w:rsidRPr="00F7232D">
        <w:rPr>
          <w:rFonts w:ascii="Times New Roman" w:hAnsi="Times New Roman" w:cs="Times New Roman"/>
          <w:b/>
          <w:bCs/>
          <w:sz w:val="24"/>
          <w:szCs w:val="24"/>
          <w:lang w:val="en-GB"/>
        </w:rPr>
        <w:t>Rubin”</w:t>
      </w:r>
      <w:r w:rsidRPr="00F7232D">
        <w:rPr>
          <w:rFonts w:ascii="Times New Roman" w:hAnsi="Times New Roman" w:cs="Times New Roman"/>
          <w:sz w:val="24"/>
          <w:szCs w:val="24"/>
          <w:lang w:val="en-GB"/>
        </w:rPr>
        <w:t>)</w:t>
      </w:r>
    </w:p>
    <w:p w14:paraId="018816BF" w14:textId="77777777" w:rsidR="00F7232D" w:rsidRDefault="00F7232D" w:rsidP="00F7232D">
      <w:pPr>
        <w:spacing w:after="0"/>
        <w:rPr>
          <w:rFonts w:ascii="Times New Roman" w:hAnsi="Times New Roman"/>
          <w:sz w:val="24"/>
          <w:szCs w:val="24"/>
        </w:rPr>
      </w:pPr>
    </w:p>
    <w:p w14:paraId="61E841CF" w14:textId="0585E93A" w:rsidR="00F7232D" w:rsidRDefault="00F7232D" w:rsidP="00F7232D">
      <w:pPr>
        <w:spacing w:after="0"/>
        <w:rPr>
          <w:rFonts w:ascii="Times New Roman" w:hAnsi="Times New Roman"/>
          <w:sz w:val="24"/>
          <w:szCs w:val="24"/>
        </w:rPr>
      </w:pPr>
      <w:r w:rsidRPr="00F7232D">
        <w:rPr>
          <w:rFonts w:ascii="Times New Roman" w:hAnsi="Times New Roman"/>
          <w:sz w:val="24"/>
          <w:szCs w:val="24"/>
        </w:rPr>
        <w:t xml:space="preserve">In </w:t>
      </w:r>
      <w:r w:rsidRPr="00F7232D">
        <w:rPr>
          <w:rFonts w:ascii="Times New Roman" w:hAnsi="Times New Roman"/>
          <w:i/>
          <w:iCs/>
          <w:sz w:val="24"/>
          <w:szCs w:val="24"/>
        </w:rPr>
        <w:t>Rubin</w:t>
      </w:r>
      <w:r w:rsidRPr="00F7232D">
        <w:rPr>
          <w:rFonts w:ascii="Times New Roman" w:hAnsi="Times New Roman"/>
          <w:sz w:val="24"/>
          <w:szCs w:val="24"/>
        </w:rPr>
        <w:t xml:space="preserve">, the </w:t>
      </w:r>
      <w:r w:rsidR="004760BA">
        <w:rPr>
          <w:rFonts w:ascii="Times New Roman" w:hAnsi="Times New Roman"/>
          <w:sz w:val="24"/>
          <w:szCs w:val="24"/>
        </w:rPr>
        <w:t>UK Supreme Court (“</w:t>
      </w:r>
      <w:r w:rsidRPr="004760BA">
        <w:rPr>
          <w:rFonts w:ascii="Times New Roman" w:hAnsi="Times New Roman"/>
          <w:b/>
          <w:bCs/>
          <w:sz w:val="24"/>
          <w:szCs w:val="24"/>
        </w:rPr>
        <w:t>UKSC</w:t>
      </w:r>
      <w:r w:rsidR="004760BA">
        <w:rPr>
          <w:rFonts w:ascii="Times New Roman" w:hAnsi="Times New Roman"/>
          <w:sz w:val="24"/>
          <w:szCs w:val="24"/>
        </w:rPr>
        <w:t>”)</w:t>
      </w:r>
      <w:r w:rsidRPr="00F7232D">
        <w:rPr>
          <w:rFonts w:ascii="Times New Roman" w:hAnsi="Times New Roman"/>
          <w:sz w:val="24"/>
          <w:szCs w:val="24"/>
        </w:rPr>
        <w:t xml:space="preserve"> held that </w:t>
      </w:r>
      <w:r w:rsidRPr="004760BA">
        <w:rPr>
          <w:rFonts w:ascii="Times New Roman" w:hAnsi="Times New Roman"/>
          <w:i/>
          <w:iCs/>
          <w:sz w:val="24"/>
          <w:szCs w:val="24"/>
        </w:rPr>
        <w:t>Cambridge Gas</w:t>
      </w:r>
      <w:r w:rsidRPr="00F7232D">
        <w:rPr>
          <w:rFonts w:ascii="Times New Roman" w:hAnsi="Times New Roman"/>
          <w:sz w:val="24"/>
          <w:szCs w:val="24"/>
        </w:rPr>
        <w:t xml:space="preserve"> had been wrongly decided. Lord Collins found (at paragraph 132 of the judgment) that the order of the US court should not have been recognised</w:t>
      </w:r>
      <w:r w:rsidR="004760BA">
        <w:rPr>
          <w:rFonts w:ascii="Times New Roman" w:hAnsi="Times New Roman"/>
          <w:sz w:val="24"/>
          <w:szCs w:val="24"/>
        </w:rPr>
        <w:t>,</w:t>
      </w:r>
      <w:r w:rsidRPr="00F7232D">
        <w:rPr>
          <w:rFonts w:ascii="Times New Roman" w:hAnsi="Times New Roman"/>
          <w:sz w:val="24"/>
          <w:szCs w:val="24"/>
        </w:rPr>
        <w:t xml:space="preserve"> because the property was in the Isle of Man and not subject to the </w:t>
      </w:r>
      <w:r w:rsidRPr="00F7232D">
        <w:rPr>
          <w:rFonts w:ascii="Times New Roman" w:hAnsi="Times New Roman"/>
          <w:i/>
          <w:iCs/>
          <w:sz w:val="24"/>
          <w:szCs w:val="24"/>
        </w:rPr>
        <w:t>in rem</w:t>
      </w:r>
      <w:r w:rsidRPr="00F7232D">
        <w:rPr>
          <w:rFonts w:ascii="Times New Roman" w:hAnsi="Times New Roman"/>
          <w:sz w:val="24"/>
          <w:szCs w:val="24"/>
        </w:rPr>
        <w:t xml:space="preserve"> jurisdiction of the US court and there had been no personal submission to jurisdiction. The court rejected the third principle of </w:t>
      </w:r>
      <w:r w:rsidRPr="004760BA">
        <w:rPr>
          <w:rFonts w:ascii="Times New Roman" w:hAnsi="Times New Roman"/>
          <w:i/>
          <w:iCs/>
          <w:sz w:val="24"/>
          <w:szCs w:val="24"/>
        </w:rPr>
        <w:t>Cambridge Gas</w:t>
      </w:r>
      <w:r w:rsidRPr="00F7232D">
        <w:rPr>
          <w:rFonts w:ascii="Times New Roman" w:hAnsi="Times New Roman"/>
          <w:sz w:val="24"/>
          <w:szCs w:val="24"/>
        </w:rPr>
        <w:t xml:space="preserve"> and Lord Collins stated (</w:t>
      </w:r>
      <w:r>
        <w:rPr>
          <w:rFonts w:ascii="Times New Roman" w:hAnsi="Times New Roman"/>
          <w:sz w:val="24"/>
          <w:szCs w:val="24"/>
        </w:rPr>
        <w:t>at</w:t>
      </w:r>
      <w:r w:rsidRPr="00F7232D">
        <w:rPr>
          <w:rFonts w:ascii="Times New Roman" w:hAnsi="Times New Roman"/>
          <w:sz w:val="24"/>
          <w:szCs w:val="24"/>
        </w:rPr>
        <w:t xml:space="preserve"> paragraph 129) that</w:t>
      </w:r>
      <w:r>
        <w:rPr>
          <w:rFonts w:ascii="Times New Roman" w:hAnsi="Times New Roman"/>
          <w:sz w:val="24"/>
          <w:szCs w:val="24"/>
        </w:rPr>
        <w:t>:</w:t>
      </w:r>
    </w:p>
    <w:p w14:paraId="54986FFC" w14:textId="77777777" w:rsidR="00F7232D" w:rsidRDefault="00F7232D" w:rsidP="00F7232D">
      <w:pPr>
        <w:spacing w:after="0"/>
        <w:rPr>
          <w:rFonts w:ascii="Times New Roman" w:hAnsi="Times New Roman"/>
          <w:sz w:val="24"/>
          <w:szCs w:val="24"/>
        </w:rPr>
      </w:pPr>
    </w:p>
    <w:p w14:paraId="50B71E84" w14:textId="770CED76" w:rsidR="00F7232D" w:rsidRDefault="00F7232D" w:rsidP="004760BA">
      <w:pPr>
        <w:spacing w:after="0"/>
        <w:ind w:left="360"/>
        <w:rPr>
          <w:rFonts w:ascii="Times New Roman" w:hAnsi="Times New Roman"/>
          <w:i/>
          <w:iCs/>
          <w:sz w:val="24"/>
          <w:szCs w:val="24"/>
        </w:rPr>
      </w:pPr>
      <w:r w:rsidRPr="00F7232D">
        <w:rPr>
          <w:rFonts w:ascii="Times New Roman" w:hAnsi="Times New Roman"/>
          <w:i/>
          <w:iCs/>
          <w:sz w:val="24"/>
          <w:szCs w:val="24"/>
        </w:rPr>
        <w:t>“a change to the settled law of the recognition and enforcement of judgments…is a matter for the legislature and not for judicial innovation.”</w:t>
      </w:r>
    </w:p>
    <w:p w14:paraId="45FEBCAE" w14:textId="77777777" w:rsidR="00F7232D" w:rsidRPr="00F7232D" w:rsidRDefault="00F7232D" w:rsidP="00F7232D">
      <w:pPr>
        <w:spacing w:after="0"/>
        <w:rPr>
          <w:rFonts w:ascii="Times New Roman" w:hAnsi="Times New Roman"/>
          <w:sz w:val="24"/>
          <w:szCs w:val="24"/>
        </w:rPr>
      </w:pPr>
    </w:p>
    <w:p w14:paraId="1C1A7C7B" w14:textId="31A81B72" w:rsidR="00F7232D" w:rsidRPr="00F7232D" w:rsidRDefault="00F7232D" w:rsidP="00F7232D">
      <w:pPr>
        <w:pStyle w:val="ListParagraph"/>
        <w:numPr>
          <w:ilvl w:val="0"/>
          <w:numId w:val="12"/>
        </w:numPr>
        <w:spacing w:after="0" w:line="240" w:lineRule="auto"/>
        <w:jc w:val="both"/>
        <w:rPr>
          <w:rFonts w:ascii="Times New Roman" w:hAnsi="Times New Roman" w:cs="Times New Roman"/>
          <w:i/>
          <w:iCs/>
          <w:sz w:val="24"/>
          <w:szCs w:val="24"/>
          <w:lang w:val="en-GB"/>
        </w:rPr>
      </w:pPr>
      <w:r w:rsidRPr="00F7232D">
        <w:rPr>
          <w:rFonts w:ascii="Times New Roman" w:hAnsi="Times New Roman" w:cs="Times New Roman"/>
          <w:i/>
          <w:iCs/>
          <w:sz w:val="24"/>
          <w:szCs w:val="24"/>
          <w:lang w:val="en-GB"/>
        </w:rPr>
        <w:t xml:space="preserve">Singularis Holdings Ltd v PricewaterhouseCoopers </w:t>
      </w:r>
      <w:r w:rsidRPr="00F7232D">
        <w:rPr>
          <w:rFonts w:ascii="Times New Roman" w:hAnsi="Times New Roman" w:cs="Times New Roman"/>
          <w:sz w:val="24"/>
          <w:szCs w:val="24"/>
          <w:lang w:val="en-GB"/>
        </w:rPr>
        <w:t>[2014] UKPC 26 (“</w:t>
      </w:r>
      <w:r w:rsidRPr="00F7232D">
        <w:rPr>
          <w:rFonts w:ascii="Times New Roman" w:hAnsi="Times New Roman" w:cs="Times New Roman"/>
          <w:b/>
          <w:bCs/>
          <w:sz w:val="24"/>
          <w:szCs w:val="24"/>
          <w:lang w:val="en-GB"/>
        </w:rPr>
        <w:t>Singularis</w:t>
      </w:r>
      <w:r w:rsidRPr="00F7232D">
        <w:rPr>
          <w:rFonts w:ascii="Times New Roman" w:hAnsi="Times New Roman" w:cs="Times New Roman"/>
          <w:sz w:val="24"/>
          <w:szCs w:val="24"/>
          <w:lang w:val="en-GB"/>
        </w:rPr>
        <w:t>”)</w:t>
      </w:r>
    </w:p>
    <w:p w14:paraId="40059814" w14:textId="77777777" w:rsidR="004760BA" w:rsidRDefault="004760BA" w:rsidP="00F7232D">
      <w:pPr>
        <w:spacing w:after="0"/>
        <w:rPr>
          <w:rFonts w:ascii="Times New Roman" w:hAnsi="Times New Roman"/>
          <w:sz w:val="24"/>
          <w:szCs w:val="24"/>
        </w:rPr>
      </w:pPr>
    </w:p>
    <w:p w14:paraId="3F263BF2" w14:textId="15003BAA"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 xml:space="preserve">In </w:t>
      </w:r>
      <w:r w:rsidRPr="004760BA">
        <w:rPr>
          <w:rFonts w:ascii="Times New Roman" w:hAnsi="Times New Roman"/>
          <w:i/>
          <w:iCs/>
          <w:sz w:val="24"/>
          <w:szCs w:val="24"/>
        </w:rPr>
        <w:t>Singularis</w:t>
      </w:r>
      <w:r w:rsidRPr="00F7232D">
        <w:rPr>
          <w:rFonts w:ascii="Times New Roman" w:hAnsi="Times New Roman"/>
          <w:sz w:val="24"/>
          <w:szCs w:val="24"/>
        </w:rPr>
        <w:t xml:space="preserve">, the UKPC re-affirmed the first </w:t>
      </w:r>
      <w:r w:rsidRPr="004760BA">
        <w:rPr>
          <w:rFonts w:ascii="Times New Roman" w:hAnsi="Times New Roman"/>
          <w:i/>
          <w:iCs/>
          <w:sz w:val="24"/>
          <w:szCs w:val="24"/>
        </w:rPr>
        <w:t>Cambridge Gas</w:t>
      </w:r>
      <w:r w:rsidRPr="00F7232D">
        <w:rPr>
          <w:rFonts w:ascii="Times New Roman" w:hAnsi="Times New Roman"/>
          <w:sz w:val="24"/>
          <w:szCs w:val="24"/>
        </w:rPr>
        <w:t xml:space="preserve"> principle and concluded that modified universalism was part of the common law. Lord Sumption reminded the parties of the duty of active assistance. However, the UKPC rejected the second </w:t>
      </w:r>
      <w:r w:rsidRPr="004760BA">
        <w:rPr>
          <w:rFonts w:ascii="Times New Roman" w:hAnsi="Times New Roman"/>
          <w:i/>
          <w:iCs/>
          <w:sz w:val="24"/>
          <w:szCs w:val="24"/>
        </w:rPr>
        <w:t>Cambridge Gas</w:t>
      </w:r>
      <w:r w:rsidRPr="00F7232D">
        <w:rPr>
          <w:rFonts w:ascii="Times New Roman" w:hAnsi="Times New Roman"/>
          <w:sz w:val="24"/>
          <w:szCs w:val="24"/>
        </w:rPr>
        <w:t xml:space="preserve"> principle</w:t>
      </w:r>
      <w:r w:rsidR="004760BA">
        <w:rPr>
          <w:rFonts w:ascii="Times New Roman" w:hAnsi="Times New Roman"/>
          <w:sz w:val="24"/>
          <w:szCs w:val="24"/>
        </w:rPr>
        <w:t>,</w:t>
      </w:r>
      <w:r w:rsidRPr="00F7232D">
        <w:rPr>
          <w:rFonts w:ascii="Times New Roman" w:hAnsi="Times New Roman"/>
          <w:sz w:val="24"/>
          <w:szCs w:val="24"/>
        </w:rPr>
        <w:t xml:space="preserve"> because applying insolvency legislation as if it existed went far beyond the traditional development of the common law.</w:t>
      </w:r>
    </w:p>
    <w:p w14:paraId="4036E51C" w14:textId="77777777" w:rsidR="004760BA" w:rsidRDefault="004760BA" w:rsidP="00F7232D">
      <w:pPr>
        <w:spacing w:after="0"/>
        <w:rPr>
          <w:rFonts w:ascii="Times New Roman" w:hAnsi="Times New Roman"/>
          <w:sz w:val="24"/>
          <w:szCs w:val="24"/>
        </w:rPr>
      </w:pPr>
    </w:p>
    <w:p w14:paraId="38D694C5" w14:textId="5311E994" w:rsidR="00F7232D" w:rsidRDefault="00F7232D" w:rsidP="00F7232D">
      <w:pPr>
        <w:spacing w:after="0"/>
        <w:rPr>
          <w:rFonts w:ascii="Times New Roman" w:hAnsi="Times New Roman"/>
          <w:sz w:val="24"/>
          <w:szCs w:val="24"/>
        </w:rPr>
      </w:pPr>
      <w:r w:rsidRPr="00F7232D">
        <w:rPr>
          <w:rFonts w:ascii="Times New Roman" w:hAnsi="Times New Roman"/>
          <w:sz w:val="24"/>
          <w:szCs w:val="24"/>
        </w:rPr>
        <w:lastRenderedPageBreak/>
        <w:t xml:space="preserve">Following </w:t>
      </w:r>
      <w:r w:rsidRPr="004760BA">
        <w:rPr>
          <w:rFonts w:ascii="Times New Roman" w:hAnsi="Times New Roman"/>
          <w:i/>
          <w:iCs/>
          <w:sz w:val="24"/>
          <w:szCs w:val="24"/>
        </w:rPr>
        <w:t>Singularis</w:t>
      </w:r>
      <w:r w:rsidRPr="00F7232D">
        <w:rPr>
          <w:rFonts w:ascii="Times New Roman" w:hAnsi="Times New Roman"/>
          <w:sz w:val="24"/>
          <w:szCs w:val="24"/>
        </w:rPr>
        <w:t xml:space="preserve">, the first </w:t>
      </w:r>
      <w:r w:rsidRPr="004760BA">
        <w:rPr>
          <w:rFonts w:ascii="Times New Roman" w:hAnsi="Times New Roman"/>
          <w:i/>
          <w:iCs/>
          <w:sz w:val="24"/>
          <w:szCs w:val="24"/>
        </w:rPr>
        <w:t>Cambridge Gas</w:t>
      </w:r>
      <w:r w:rsidRPr="00F7232D">
        <w:rPr>
          <w:rFonts w:ascii="Times New Roman" w:hAnsi="Times New Roman"/>
          <w:sz w:val="24"/>
          <w:szCs w:val="24"/>
        </w:rPr>
        <w:t xml:space="preserve"> principle remained alive, and it has been relied on and reaffirmed in later cases (see </w:t>
      </w:r>
      <w:r w:rsidRPr="00F7232D">
        <w:rPr>
          <w:rFonts w:ascii="Times New Roman" w:hAnsi="Times New Roman"/>
          <w:i/>
          <w:iCs/>
          <w:sz w:val="24"/>
          <w:szCs w:val="24"/>
        </w:rPr>
        <w:t>Stichting Shell Pensioenfonds v Krys</w:t>
      </w:r>
      <w:r w:rsidRPr="00F7232D">
        <w:rPr>
          <w:rFonts w:ascii="Times New Roman" w:hAnsi="Times New Roman"/>
          <w:sz w:val="24"/>
          <w:szCs w:val="24"/>
        </w:rPr>
        <w:t xml:space="preserve"> [2014] UKPC 41, for example).</w:t>
      </w:r>
    </w:p>
    <w:p w14:paraId="713AB3F2" w14:textId="77777777" w:rsidR="004760BA" w:rsidRPr="00F7232D" w:rsidRDefault="004760BA" w:rsidP="00F7232D">
      <w:pPr>
        <w:spacing w:after="0"/>
        <w:rPr>
          <w:rFonts w:ascii="Times New Roman" w:hAnsi="Times New Roman"/>
          <w:sz w:val="24"/>
          <w:szCs w:val="24"/>
        </w:rPr>
      </w:pPr>
    </w:p>
    <w:p w14:paraId="1B162BF3" w14:textId="77777777" w:rsidR="00F7232D" w:rsidRPr="00F7232D" w:rsidRDefault="00F7232D" w:rsidP="00F7232D">
      <w:pPr>
        <w:pStyle w:val="ListParagraph"/>
        <w:numPr>
          <w:ilvl w:val="0"/>
          <w:numId w:val="12"/>
        </w:numPr>
        <w:spacing w:after="0" w:line="240" w:lineRule="auto"/>
        <w:jc w:val="both"/>
        <w:rPr>
          <w:rFonts w:ascii="Times New Roman" w:hAnsi="Times New Roman" w:cs="Times New Roman"/>
          <w:sz w:val="24"/>
          <w:szCs w:val="24"/>
          <w:lang w:val="en-GB"/>
        </w:rPr>
      </w:pPr>
      <w:r w:rsidRPr="00F7232D">
        <w:rPr>
          <w:rFonts w:ascii="Times New Roman" w:hAnsi="Times New Roman" w:cs="Times New Roman"/>
          <w:i/>
          <w:iCs/>
          <w:sz w:val="24"/>
          <w:szCs w:val="24"/>
          <w:lang w:val="en-GB"/>
        </w:rPr>
        <w:t>Kireeva v Bedzhamov</w:t>
      </w:r>
      <w:r w:rsidRPr="00F7232D">
        <w:rPr>
          <w:rFonts w:ascii="Times New Roman" w:hAnsi="Times New Roman" w:cs="Times New Roman"/>
          <w:sz w:val="24"/>
          <w:szCs w:val="24"/>
          <w:lang w:val="en-GB"/>
        </w:rPr>
        <w:t xml:space="preserve"> [2024] UKSC 39 (“</w:t>
      </w:r>
      <w:r w:rsidRPr="00F7232D">
        <w:rPr>
          <w:rFonts w:ascii="Times New Roman" w:hAnsi="Times New Roman" w:cs="Times New Roman"/>
          <w:b/>
          <w:bCs/>
          <w:sz w:val="24"/>
          <w:szCs w:val="24"/>
          <w:lang w:val="en-GB"/>
        </w:rPr>
        <w:t>Kireeva</w:t>
      </w:r>
      <w:r w:rsidRPr="00F7232D">
        <w:rPr>
          <w:rFonts w:ascii="Times New Roman" w:hAnsi="Times New Roman" w:cs="Times New Roman"/>
          <w:sz w:val="24"/>
          <w:szCs w:val="24"/>
          <w:lang w:val="en-GB"/>
        </w:rPr>
        <w:t>”)</w:t>
      </w:r>
    </w:p>
    <w:p w14:paraId="13EE0ADC" w14:textId="77777777" w:rsidR="004760BA" w:rsidRDefault="004760BA" w:rsidP="00F7232D">
      <w:pPr>
        <w:spacing w:after="0"/>
        <w:rPr>
          <w:rFonts w:ascii="Times New Roman" w:hAnsi="Times New Roman"/>
          <w:sz w:val="24"/>
          <w:szCs w:val="24"/>
        </w:rPr>
      </w:pPr>
    </w:p>
    <w:p w14:paraId="3CA0CFB6" w14:textId="222534F5" w:rsidR="00F7232D" w:rsidRDefault="00F7232D" w:rsidP="00F7232D">
      <w:pPr>
        <w:spacing w:after="0"/>
        <w:rPr>
          <w:rFonts w:ascii="Times New Roman" w:hAnsi="Times New Roman"/>
          <w:sz w:val="24"/>
          <w:szCs w:val="24"/>
        </w:rPr>
      </w:pPr>
      <w:r w:rsidRPr="00F7232D">
        <w:rPr>
          <w:rFonts w:ascii="Times New Roman" w:hAnsi="Times New Roman"/>
          <w:sz w:val="24"/>
          <w:szCs w:val="24"/>
        </w:rPr>
        <w:t xml:space="preserve">In </w:t>
      </w:r>
      <w:r w:rsidRPr="004760BA">
        <w:rPr>
          <w:rFonts w:ascii="Times New Roman" w:hAnsi="Times New Roman"/>
          <w:i/>
          <w:iCs/>
          <w:sz w:val="24"/>
          <w:szCs w:val="24"/>
        </w:rPr>
        <w:t>Kireeva</w:t>
      </w:r>
      <w:r w:rsidRPr="00F7232D">
        <w:rPr>
          <w:rFonts w:ascii="Times New Roman" w:hAnsi="Times New Roman"/>
          <w:sz w:val="24"/>
          <w:szCs w:val="24"/>
        </w:rPr>
        <w:t>, the UKSC considered the effect of modified universalism on real property</w:t>
      </w:r>
      <w:r w:rsidR="004760BA">
        <w:rPr>
          <w:rFonts w:ascii="Times New Roman" w:hAnsi="Times New Roman"/>
          <w:sz w:val="24"/>
          <w:szCs w:val="24"/>
        </w:rPr>
        <w:t xml:space="preserve">, </w:t>
      </w:r>
      <w:r w:rsidRPr="00F7232D">
        <w:rPr>
          <w:rFonts w:ascii="Times New Roman" w:hAnsi="Times New Roman"/>
          <w:sz w:val="24"/>
          <w:szCs w:val="24"/>
        </w:rPr>
        <w:t>which is subject to the Immovables Rule. The Immovables Rule is a long-held principle of English private international law which holds that the law of the jurisdiction where land and other immovable property is found applies to the rights and interests in that property.</w:t>
      </w:r>
    </w:p>
    <w:p w14:paraId="086D5501" w14:textId="77777777" w:rsidR="004760BA" w:rsidRPr="00F7232D" w:rsidRDefault="004760BA" w:rsidP="00F7232D">
      <w:pPr>
        <w:spacing w:after="0"/>
        <w:rPr>
          <w:rFonts w:ascii="Times New Roman" w:hAnsi="Times New Roman"/>
          <w:sz w:val="24"/>
          <w:szCs w:val="24"/>
        </w:rPr>
      </w:pPr>
    </w:p>
    <w:p w14:paraId="004D4912" w14:textId="6562AB1A" w:rsidR="00F7232D" w:rsidRDefault="00F7232D" w:rsidP="00F7232D">
      <w:pPr>
        <w:spacing w:after="0"/>
        <w:rPr>
          <w:rFonts w:ascii="Times New Roman" w:hAnsi="Times New Roman"/>
          <w:sz w:val="24"/>
          <w:szCs w:val="24"/>
        </w:rPr>
      </w:pPr>
      <w:r w:rsidRPr="00F7232D">
        <w:rPr>
          <w:rFonts w:ascii="Times New Roman" w:hAnsi="Times New Roman"/>
          <w:sz w:val="24"/>
          <w:szCs w:val="24"/>
        </w:rPr>
        <w:t>Ms Kireeva, Mr Bedzhamov’s Russian bankruptcy trustee, whose appointment had been recognised in England under the common law, was seeking assistance in relation to property in Belgrave Square in London owned by Mr Bedzhamov and she sought the appointment of a receiver over that property. Both Mr Justice Snowden (as he was then) in the High Court, and the Court of Appeal (by a majority) had refused to grant assistance to Mr Kireeva in relation to the property on account of the Immovables Rule.</w:t>
      </w:r>
    </w:p>
    <w:p w14:paraId="154AF6F0" w14:textId="77777777" w:rsidR="004760BA" w:rsidRPr="00F7232D" w:rsidRDefault="004760BA" w:rsidP="00F7232D">
      <w:pPr>
        <w:spacing w:after="0"/>
        <w:rPr>
          <w:rFonts w:ascii="Times New Roman" w:hAnsi="Times New Roman"/>
          <w:sz w:val="24"/>
          <w:szCs w:val="24"/>
        </w:rPr>
      </w:pPr>
    </w:p>
    <w:p w14:paraId="2FF8E3C0" w14:textId="6C3DAF6F" w:rsidR="00F7232D" w:rsidRDefault="00F7232D" w:rsidP="00F7232D">
      <w:pPr>
        <w:spacing w:after="0"/>
        <w:rPr>
          <w:rFonts w:ascii="Times New Roman" w:hAnsi="Times New Roman"/>
          <w:sz w:val="24"/>
          <w:szCs w:val="24"/>
        </w:rPr>
      </w:pPr>
      <w:r w:rsidRPr="00F7232D">
        <w:rPr>
          <w:rFonts w:ascii="Times New Roman" w:hAnsi="Times New Roman"/>
          <w:sz w:val="24"/>
          <w:szCs w:val="24"/>
        </w:rPr>
        <w:t>The UKSC found that under the common law a foreign bankruptcy trustee has no claim to immovable property in England which, as Lord Lloyd-Jones and Lord Richards held in their judgment, is subject to local law and local public policy. Although the court accepted that modified universalism is “an important element of the common law as regards assistance in cross-border insolvencies”</w:t>
      </w:r>
      <w:r w:rsidR="004760BA">
        <w:rPr>
          <w:rFonts w:ascii="Times New Roman" w:hAnsi="Times New Roman"/>
          <w:sz w:val="24"/>
          <w:szCs w:val="24"/>
        </w:rPr>
        <w:t>,</w:t>
      </w:r>
      <w:r w:rsidRPr="00F7232D">
        <w:rPr>
          <w:rFonts w:ascii="Times New Roman" w:hAnsi="Times New Roman"/>
          <w:sz w:val="24"/>
          <w:szCs w:val="24"/>
        </w:rPr>
        <w:t xml:space="preserve"> it found that it does not displace the Immovables Rule.</w:t>
      </w:r>
    </w:p>
    <w:p w14:paraId="15802A97" w14:textId="77777777" w:rsidR="004760BA" w:rsidRPr="00F7232D" w:rsidRDefault="004760BA" w:rsidP="00F7232D">
      <w:pPr>
        <w:spacing w:after="0"/>
        <w:rPr>
          <w:rFonts w:ascii="Times New Roman" w:hAnsi="Times New Roman"/>
          <w:sz w:val="24"/>
          <w:szCs w:val="24"/>
        </w:rPr>
      </w:pPr>
    </w:p>
    <w:p w14:paraId="6914F601" w14:textId="3C9D5BDD" w:rsidR="00F7232D" w:rsidRDefault="00F7232D" w:rsidP="00F7232D">
      <w:pPr>
        <w:spacing w:after="0"/>
        <w:rPr>
          <w:rFonts w:ascii="Times New Roman" w:hAnsi="Times New Roman"/>
          <w:sz w:val="24"/>
          <w:szCs w:val="24"/>
        </w:rPr>
      </w:pPr>
      <w:r w:rsidRPr="00F7232D">
        <w:rPr>
          <w:rFonts w:ascii="Times New Roman" w:hAnsi="Times New Roman"/>
          <w:sz w:val="24"/>
          <w:szCs w:val="24"/>
        </w:rPr>
        <w:t>In reaching its decision, the court thus negated Lord Hoffman’s statement that the English Court has a discretion to assist a foreign trustee, at least in respect of real property.</w:t>
      </w:r>
      <w:r w:rsidR="004760BA">
        <w:rPr>
          <w:rFonts w:ascii="Times New Roman" w:hAnsi="Times New Roman"/>
          <w:sz w:val="24"/>
          <w:szCs w:val="24"/>
        </w:rPr>
        <w:t xml:space="preserve"> </w:t>
      </w:r>
      <w:r w:rsidRPr="00F7232D">
        <w:rPr>
          <w:rFonts w:ascii="Times New Roman" w:hAnsi="Times New Roman"/>
          <w:sz w:val="24"/>
          <w:szCs w:val="24"/>
        </w:rPr>
        <w:t>The UKSC explained that it was not for the courts to develop the law in these circumstances, but a matter for Parliament</w:t>
      </w:r>
      <w:r w:rsidR="004760BA">
        <w:rPr>
          <w:rFonts w:ascii="Times New Roman" w:hAnsi="Times New Roman"/>
          <w:sz w:val="24"/>
          <w:szCs w:val="24"/>
        </w:rPr>
        <w:t>,</w:t>
      </w:r>
      <w:r w:rsidRPr="00F7232D">
        <w:rPr>
          <w:rFonts w:ascii="Times New Roman" w:hAnsi="Times New Roman"/>
          <w:sz w:val="24"/>
          <w:szCs w:val="24"/>
        </w:rPr>
        <w:t xml:space="preserve"> because this concerned territorial sovereignty.</w:t>
      </w:r>
    </w:p>
    <w:p w14:paraId="7BD9F4C3" w14:textId="77777777" w:rsidR="004760BA" w:rsidRPr="00F7232D" w:rsidRDefault="004760BA" w:rsidP="00F7232D">
      <w:pPr>
        <w:spacing w:after="0"/>
        <w:rPr>
          <w:rFonts w:ascii="Times New Roman" w:hAnsi="Times New Roman"/>
          <w:sz w:val="24"/>
          <w:szCs w:val="24"/>
        </w:rPr>
      </w:pPr>
    </w:p>
    <w:p w14:paraId="642E762D" w14:textId="008D2C42" w:rsidR="00F7232D" w:rsidRDefault="00F7232D" w:rsidP="00F7232D">
      <w:pPr>
        <w:spacing w:after="0"/>
        <w:rPr>
          <w:rFonts w:ascii="Times New Roman" w:hAnsi="Times New Roman"/>
          <w:sz w:val="24"/>
          <w:szCs w:val="24"/>
        </w:rPr>
      </w:pPr>
      <w:r w:rsidRPr="00F7232D">
        <w:rPr>
          <w:rFonts w:ascii="Times New Roman" w:hAnsi="Times New Roman"/>
          <w:sz w:val="24"/>
          <w:szCs w:val="24"/>
        </w:rPr>
        <w:t>Ms Kireeva also submitted that</w:t>
      </w:r>
      <w:r w:rsidR="004760BA">
        <w:rPr>
          <w:rFonts w:ascii="Times New Roman" w:hAnsi="Times New Roman"/>
          <w:sz w:val="24"/>
          <w:szCs w:val="24"/>
        </w:rPr>
        <w:t>,</w:t>
      </w:r>
      <w:r w:rsidRPr="00F7232D">
        <w:rPr>
          <w:rFonts w:ascii="Times New Roman" w:hAnsi="Times New Roman"/>
          <w:sz w:val="24"/>
          <w:szCs w:val="24"/>
        </w:rPr>
        <w:t xml:space="preserve"> on sale of the property, the proceeds would be movable property and would not therefore be subject to the Immovables Rule and</w:t>
      </w:r>
      <w:r w:rsidR="004760BA">
        <w:rPr>
          <w:rFonts w:ascii="Times New Roman" w:hAnsi="Times New Roman"/>
          <w:sz w:val="24"/>
          <w:szCs w:val="24"/>
        </w:rPr>
        <w:t>,</w:t>
      </w:r>
      <w:r w:rsidRPr="00F7232D">
        <w:rPr>
          <w:rFonts w:ascii="Times New Roman" w:hAnsi="Times New Roman"/>
          <w:sz w:val="24"/>
          <w:szCs w:val="24"/>
        </w:rPr>
        <w:t xml:space="preserve"> if a receiver can be appointed over profits and rent, one could be appointed with power of sale. The UKSC also rejected these arguments</w:t>
      </w:r>
      <w:r w:rsidR="004760BA">
        <w:rPr>
          <w:rFonts w:ascii="Times New Roman" w:hAnsi="Times New Roman"/>
          <w:sz w:val="24"/>
          <w:szCs w:val="24"/>
        </w:rPr>
        <w:t>.</w:t>
      </w:r>
    </w:p>
    <w:p w14:paraId="42E79F84" w14:textId="77777777" w:rsidR="004760BA" w:rsidRPr="00F7232D" w:rsidRDefault="004760BA" w:rsidP="00F7232D">
      <w:pPr>
        <w:spacing w:after="0"/>
        <w:rPr>
          <w:rFonts w:ascii="Times New Roman" w:hAnsi="Times New Roman"/>
          <w:sz w:val="24"/>
          <w:szCs w:val="24"/>
        </w:rPr>
      </w:pPr>
    </w:p>
    <w:p w14:paraId="6578992D" w14:textId="77777777" w:rsidR="00F7232D" w:rsidRPr="004760BA" w:rsidRDefault="00F7232D" w:rsidP="00F7232D">
      <w:pPr>
        <w:spacing w:after="0"/>
        <w:rPr>
          <w:rFonts w:ascii="Times New Roman" w:hAnsi="Times New Roman"/>
          <w:i/>
          <w:iCs/>
          <w:sz w:val="24"/>
          <w:szCs w:val="24"/>
        </w:rPr>
      </w:pPr>
      <w:r w:rsidRPr="004760BA">
        <w:rPr>
          <w:rFonts w:ascii="Times New Roman" w:hAnsi="Times New Roman"/>
          <w:i/>
          <w:iCs/>
          <w:sz w:val="24"/>
          <w:szCs w:val="24"/>
        </w:rPr>
        <w:t>Where does this leave us?</w:t>
      </w:r>
    </w:p>
    <w:p w14:paraId="77589ACF" w14:textId="77777777" w:rsidR="004760BA" w:rsidRDefault="004760BA" w:rsidP="00F7232D">
      <w:pPr>
        <w:spacing w:after="0"/>
        <w:rPr>
          <w:rFonts w:ascii="Times New Roman" w:hAnsi="Times New Roman"/>
          <w:sz w:val="24"/>
          <w:szCs w:val="24"/>
        </w:rPr>
      </w:pPr>
    </w:p>
    <w:p w14:paraId="38EDF380" w14:textId="535BD84D" w:rsidR="00F7232D" w:rsidRDefault="00F7232D" w:rsidP="00F7232D">
      <w:pPr>
        <w:spacing w:after="0"/>
        <w:rPr>
          <w:rFonts w:ascii="Times New Roman" w:hAnsi="Times New Roman"/>
          <w:sz w:val="24"/>
          <w:szCs w:val="24"/>
        </w:rPr>
      </w:pPr>
      <w:r w:rsidRPr="00F7232D">
        <w:rPr>
          <w:rFonts w:ascii="Times New Roman" w:hAnsi="Times New Roman"/>
          <w:sz w:val="24"/>
          <w:szCs w:val="24"/>
        </w:rPr>
        <w:t>It would seem that modified universalism has been reduced in scope</w:t>
      </w:r>
      <w:r w:rsidR="004760BA">
        <w:rPr>
          <w:rFonts w:ascii="Times New Roman" w:hAnsi="Times New Roman"/>
          <w:sz w:val="24"/>
          <w:szCs w:val="24"/>
        </w:rPr>
        <w:t>,</w:t>
      </w:r>
      <w:r w:rsidRPr="00F7232D">
        <w:rPr>
          <w:rFonts w:ascii="Times New Roman" w:hAnsi="Times New Roman"/>
          <w:sz w:val="24"/>
          <w:szCs w:val="24"/>
        </w:rPr>
        <w:t xml:space="preserve"> since Lord Hoffman decided </w:t>
      </w:r>
      <w:r w:rsidRPr="004760BA">
        <w:rPr>
          <w:rFonts w:ascii="Times New Roman" w:hAnsi="Times New Roman"/>
          <w:i/>
          <w:iCs/>
          <w:sz w:val="24"/>
          <w:szCs w:val="24"/>
        </w:rPr>
        <w:t>Cambridge Gas</w:t>
      </w:r>
      <w:r w:rsidRPr="00F7232D">
        <w:rPr>
          <w:rFonts w:ascii="Times New Roman" w:hAnsi="Times New Roman"/>
          <w:sz w:val="24"/>
          <w:szCs w:val="24"/>
        </w:rPr>
        <w:t>. Only that case’s first principle has survived and only in part. The ambit of the court’s assistance under the common law is limited and does not extend to immovable property.</w:t>
      </w:r>
      <w:r w:rsidR="004760BA">
        <w:rPr>
          <w:rFonts w:ascii="Times New Roman" w:hAnsi="Times New Roman"/>
          <w:sz w:val="24"/>
          <w:szCs w:val="24"/>
        </w:rPr>
        <w:t xml:space="preserve"> </w:t>
      </w:r>
      <w:r w:rsidRPr="00F7232D">
        <w:rPr>
          <w:rFonts w:ascii="Times New Roman" w:hAnsi="Times New Roman"/>
          <w:sz w:val="24"/>
          <w:szCs w:val="24"/>
        </w:rPr>
        <w:t xml:space="preserve">While the courts will provide greater assistance under the CBIR and </w:t>
      </w:r>
      <w:r w:rsidR="004760BA">
        <w:rPr>
          <w:rFonts w:ascii="Times New Roman" w:hAnsi="Times New Roman"/>
          <w:sz w:val="24"/>
          <w:szCs w:val="24"/>
        </w:rPr>
        <w:t>s</w:t>
      </w:r>
      <w:r w:rsidRPr="00F7232D">
        <w:rPr>
          <w:rFonts w:ascii="Times New Roman" w:hAnsi="Times New Roman"/>
          <w:sz w:val="24"/>
          <w:szCs w:val="24"/>
        </w:rPr>
        <w:t>ection 426, assistance under the EC Reg has largely disappeared and we have seen how assistance under the common law is very limited.</w:t>
      </w:r>
    </w:p>
    <w:p w14:paraId="446FB2C8" w14:textId="77777777" w:rsidR="004760BA" w:rsidRPr="00F7232D" w:rsidRDefault="004760BA" w:rsidP="00F7232D">
      <w:pPr>
        <w:spacing w:after="0"/>
        <w:rPr>
          <w:rFonts w:ascii="Times New Roman" w:hAnsi="Times New Roman"/>
          <w:sz w:val="24"/>
          <w:szCs w:val="24"/>
        </w:rPr>
      </w:pPr>
    </w:p>
    <w:p w14:paraId="1BA3593B" w14:textId="0C2A71C9" w:rsidR="00F7232D" w:rsidRPr="00F7232D" w:rsidRDefault="00F7232D" w:rsidP="00F7232D">
      <w:pPr>
        <w:spacing w:after="0"/>
        <w:rPr>
          <w:rFonts w:ascii="Times New Roman" w:hAnsi="Times New Roman"/>
          <w:sz w:val="24"/>
          <w:szCs w:val="24"/>
        </w:rPr>
      </w:pPr>
      <w:r w:rsidRPr="00F7232D">
        <w:rPr>
          <w:rFonts w:ascii="Times New Roman" w:hAnsi="Times New Roman"/>
          <w:sz w:val="24"/>
          <w:szCs w:val="24"/>
        </w:rPr>
        <w:t>It is now the position of the English court that office-holders appointed in insolvencies in many foreign jurisdictions, including most EU jurisdictions, where the CBIR are inapplicable, cannot obtain assistance in relation to real property situated in England. Those office-holders must commence new insolvency proceedings in England in order to deal with real property, the very opposite result of what universalism seeks to achieve.</w:t>
      </w:r>
    </w:p>
    <w:sectPr w:rsidR="00F7232D" w:rsidRPr="00F7232D" w:rsidSect="00086E49">
      <w:headerReference w:type="even" r:id="rId9"/>
      <w:headerReference w:type="default" r:id="rId10"/>
      <w:footerReference w:type="even" r:id="rId11"/>
      <w:footerReference w:type="default" r:id="rId12"/>
      <w:headerReference w:type="first" r:id="rId13"/>
      <w:footerReference w:type="first" r:id="rId14"/>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A6BA6" w14:textId="77777777" w:rsidR="00C06D41" w:rsidRDefault="00C06D41">
      <w:r>
        <w:separator/>
      </w:r>
    </w:p>
  </w:endnote>
  <w:endnote w:type="continuationSeparator" w:id="0">
    <w:p w14:paraId="7D8C2E49" w14:textId="77777777" w:rsidR="00C06D41" w:rsidRDefault="00C0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55F2" w14:textId="77777777" w:rsidR="002B3A49" w:rsidRDefault="002B3A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54E3" w14:textId="77777777" w:rsidR="002B3A49" w:rsidRDefault="002B3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94AE4" w14:textId="77777777" w:rsidR="00C06D41" w:rsidRDefault="00C06D41">
      <w:r>
        <w:separator/>
      </w:r>
    </w:p>
  </w:footnote>
  <w:footnote w:type="continuationSeparator" w:id="0">
    <w:p w14:paraId="70A59A2C" w14:textId="77777777" w:rsidR="00C06D41" w:rsidRDefault="00C06D41">
      <w:r>
        <w:continuationSeparator/>
      </w:r>
    </w:p>
  </w:footnote>
  <w:footnote w:id="1">
    <w:p w14:paraId="132A4FC1" w14:textId="323EA443" w:rsidR="00F7232D" w:rsidRPr="00F7232D" w:rsidRDefault="00F7232D" w:rsidP="00F7232D">
      <w:pPr>
        <w:spacing w:after="0"/>
        <w:rPr>
          <w:rFonts w:ascii="Times New Roman" w:hAnsi="Times New Roman"/>
          <w:sz w:val="20"/>
        </w:rPr>
      </w:pPr>
      <w:r w:rsidRPr="00F7232D">
        <w:rPr>
          <w:rStyle w:val="FootnoteReference"/>
          <w:rFonts w:ascii="Times New Roman" w:hAnsi="Times New Roman"/>
          <w:sz w:val="20"/>
        </w:rPr>
        <w:footnoteRef/>
      </w:r>
      <w:r w:rsidRPr="00F7232D">
        <w:rPr>
          <w:rFonts w:ascii="Times New Roman" w:hAnsi="Times New Roman"/>
          <w:sz w:val="20"/>
        </w:rPr>
        <w:t xml:space="preserve"> Patrick Elliot was instructed on both </w:t>
      </w:r>
      <w:r w:rsidRPr="00F7232D">
        <w:rPr>
          <w:rFonts w:ascii="Times New Roman" w:hAnsi="Times New Roman"/>
          <w:i/>
          <w:iCs/>
          <w:sz w:val="20"/>
        </w:rPr>
        <w:t>Rubin</w:t>
      </w:r>
      <w:r w:rsidRPr="00F7232D">
        <w:rPr>
          <w:rFonts w:ascii="Times New Roman" w:hAnsi="Times New Roman"/>
          <w:sz w:val="20"/>
        </w:rPr>
        <w:t xml:space="preserve"> and </w:t>
      </w:r>
      <w:r w:rsidRPr="00F7232D">
        <w:rPr>
          <w:rFonts w:ascii="Times New Roman" w:hAnsi="Times New Roman"/>
          <w:i/>
          <w:iCs/>
          <w:sz w:val="20"/>
        </w:rPr>
        <w:t>Kireeva</w:t>
      </w:r>
      <w:r w:rsidRPr="00F7232D">
        <w:rPr>
          <w:rFonts w:ascii="Times New Roman" w:hAnsi="Times New Roman"/>
          <w:sz w:val="20"/>
        </w:rPr>
        <w:t xml:space="preserve"> at previous firms.</w:t>
      </w:r>
    </w:p>
    <w:p w14:paraId="0667B74B" w14:textId="59424C5E" w:rsidR="00F7232D" w:rsidRDefault="00F723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61AC" w14:textId="77777777" w:rsidR="002B3A49" w:rsidRDefault="002B3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667A408C"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246E78">
      <w:rPr>
        <w:rFonts w:ascii="Arial" w:hAnsi="Arial" w:cs="Arial"/>
        <w:b/>
        <w:sz w:val="20"/>
      </w:rPr>
      <w:t>May</w:t>
    </w:r>
    <w:r w:rsidR="002A5779" w:rsidRPr="002331CA">
      <w:rPr>
        <w:rFonts w:ascii="Arial" w:hAnsi="Arial" w:cs="Arial"/>
        <w:b/>
        <w:sz w:val="20"/>
      </w:rPr>
      <w:t xml:space="preserve"> 20</w:t>
    </w:r>
    <w:r w:rsidR="00087612" w:rsidRPr="002331CA">
      <w:rPr>
        <w:rFonts w:ascii="Arial" w:hAnsi="Arial" w:cs="Arial"/>
        <w:b/>
        <w:sz w:val="20"/>
      </w:rPr>
      <w:t>2</w:t>
    </w:r>
    <w:r w:rsidR="00D10A38">
      <w:rPr>
        <w:rFonts w:ascii="Arial" w:hAnsi="Arial" w:cs="Arial"/>
        <w:b/>
        <w:sz w:val="20"/>
      </w:rPr>
      <w:t>5</w:t>
    </w:r>
    <w:r w:rsidR="00D90E9D">
      <w:rPr>
        <w:rFonts w:ascii="Arial" w:hAnsi="Arial" w:cs="Arial"/>
        <w:b/>
        <w:sz w:val="20"/>
      </w:rPr>
      <w:t>)</w:t>
    </w:r>
  </w:p>
  <w:p w14:paraId="0F2C5C5A" w14:textId="393EC54A" w:rsidR="00BF3D3E" w:rsidRPr="0011226B" w:rsidRDefault="00F7232D" w:rsidP="00D90E9D">
    <w:pPr>
      <w:pStyle w:val="Header"/>
      <w:spacing w:after="0"/>
      <w:rPr>
        <w:rFonts w:ascii="Arial" w:hAnsi="Arial" w:cs="Arial"/>
        <w:b/>
        <w:sz w:val="20"/>
        <w:lang w:val="fr-FR"/>
      </w:rPr>
    </w:pPr>
    <w:r>
      <w:rPr>
        <w:rFonts w:ascii="Arial" w:hAnsi="Arial" w:cs="Arial"/>
        <w:b/>
        <w:sz w:val="20"/>
      </w:rPr>
      <w:t>Patrick Elliot</w:t>
    </w:r>
    <w:r w:rsidR="00FA6321">
      <w:rPr>
        <w:rFonts w:ascii="Arial" w:hAnsi="Arial" w:cs="Arial"/>
        <w:b/>
        <w:sz w:val="20"/>
      </w:rPr>
      <w:t xml:space="preserve"> </w:t>
    </w:r>
    <w:r w:rsidR="00640EFC" w:rsidRPr="0011226B">
      <w:rPr>
        <w:rFonts w:ascii="Arial" w:hAnsi="Arial" w:cs="Arial"/>
        <w:b/>
        <w:sz w:val="20"/>
        <w:lang w:val="fr-FR"/>
      </w:rPr>
      <w:t>(</w:t>
    </w:r>
    <w:r>
      <w:rPr>
        <w:rFonts w:ascii="Arial" w:hAnsi="Arial" w:cs="Arial"/>
        <w:b/>
        <w:sz w:val="20"/>
        <w:lang w:val="fr-FR"/>
      </w:rPr>
      <w:t>GB</w:t>
    </w:r>
    <w:r w:rsidR="00BF3D3E" w:rsidRPr="0011226B">
      <w:rPr>
        <w:rFonts w:ascii="Arial" w:hAnsi="Arial" w:cs="Arial"/>
        <w:b/>
        <w:sz w:val="20"/>
        <w:lang w:val="fr-FR"/>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74C9" w14:textId="77777777" w:rsidR="002B3A49" w:rsidRDefault="002B3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9A6"/>
    <w:multiLevelType w:val="hybridMultilevel"/>
    <w:tmpl w:val="53124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35BCD"/>
    <w:multiLevelType w:val="hybridMultilevel"/>
    <w:tmpl w:val="71542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7" w15:restartNumberingAfterBreak="0">
    <w:nsid w:val="586F5BF2"/>
    <w:multiLevelType w:val="hybridMultilevel"/>
    <w:tmpl w:val="F0A2F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9"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6E61EE3"/>
    <w:multiLevelType w:val="hybridMultilevel"/>
    <w:tmpl w:val="4BC42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266605">
    <w:abstractNumId w:val="6"/>
  </w:num>
  <w:num w:numId="2" w16cid:durableId="1629316497">
    <w:abstractNumId w:val="2"/>
  </w:num>
  <w:num w:numId="3" w16cid:durableId="1224295723">
    <w:abstractNumId w:val="10"/>
  </w:num>
  <w:num w:numId="4" w16cid:durableId="1299801568">
    <w:abstractNumId w:val="4"/>
  </w:num>
  <w:num w:numId="5" w16cid:durableId="996803209">
    <w:abstractNumId w:val="3"/>
  </w:num>
  <w:num w:numId="6" w16cid:durableId="956520881">
    <w:abstractNumId w:val="8"/>
  </w:num>
  <w:num w:numId="7" w16cid:durableId="1306011399">
    <w:abstractNumId w:val="9"/>
  </w:num>
  <w:num w:numId="8" w16cid:durableId="1754816734">
    <w:abstractNumId w:val="5"/>
  </w:num>
  <w:num w:numId="9" w16cid:durableId="1796293782">
    <w:abstractNumId w:val="0"/>
  </w:num>
  <w:num w:numId="10" w16cid:durableId="1832058914">
    <w:abstractNumId w:val="1"/>
  </w:num>
  <w:num w:numId="11" w16cid:durableId="1831630638">
    <w:abstractNumId w:val="11"/>
  </w:num>
  <w:num w:numId="12" w16cid:durableId="180119200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65DA6"/>
    <w:rsid w:val="00086E49"/>
    <w:rsid w:val="00087612"/>
    <w:rsid w:val="000921F0"/>
    <w:rsid w:val="00092307"/>
    <w:rsid w:val="000B09D3"/>
    <w:rsid w:val="000C398A"/>
    <w:rsid w:val="000C4532"/>
    <w:rsid w:val="000C7620"/>
    <w:rsid w:val="000D3C8B"/>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6E78"/>
    <w:rsid w:val="00247BAC"/>
    <w:rsid w:val="002756AD"/>
    <w:rsid w:val="00276632"/>
    <w:rsid w:val="00280030"/>
    <w:rsid w:val="00284601"/>
    <w:rsid w:val="002A4C95"/>
    <w:rsid w:val="002A5779"/>
    <w:rsid w:val="002A5C92"/>
    <w:rsid w:val="002B3A49"/>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760BA"/>
    <w:rsid w:val="00484F6D"/>
    <w:rsid w:val="00492065"/>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D39FA"/>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3C5F"/>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06D41"/>
    <w:rsid w:val="00C16DFA"/>
    <w:rsid w:val="00C2522B"/>
    <w:rsid w:val="00C378D4"/>
    <w:rsid w:val="00C62042"/>
    <w:rsid w:val="00C900E1"/>
    <w:rsid w:val="00C96534"/>
    <w:rsid w:val="00CA2E89"/>
    <w:rsid w:val="00CA53BB"/>
    <w:rsid w:val="00CB7636"/>
    <w:rsid w:val="00CC02EB"/>
    <w:rsid w:val="00CE09C4"/>
    <w:rsid w:val="00D03DC1"/>
    <w:rsid w:val="00D05F7C"/>
    <w:rsid w:val="00D10A38"/>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232D"/>
    <w:rsid w:val="00F76C1F"/>
    <w:rsid w:val="00F77372"/>
    <w:rsid w:val="00F90C01"/>
    <w:rsid w:val="00FA08CE"/>
    <w:rsid w:val="00FA16B1"/>
    <w:rsid w:val="00FA632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paragraph" w:customStyle="1" w:styleId="DSHeadingUnnumbered1">
    <w:name w:val="DS_Heading_Unnumbered_1"/>
    <w:basedOn w:val="Heading1"/>
    <w:next w:val="Normal"/>
    <w:qFormat/>
    <w:rsid w:val="00D10A38"/>
    <w:pPr>
      <w:keepNext w:val="0"/>
      <w:spacing w:before="0" w:after="0" w:line="280" w:lineRule="atLeast"/>
      <w:jc w:val="left"/>
    </w:pPr>
    <w:rPr>
      <w:rFonts w:asciiTheme="majorHAnsi" w:eastAsiaTheme="majorEastAsia" w:hAnsiTheme="majorHAnsi" w:cstheme="majorBidi"/>
      <w:bCs w:val="0"/>
      <w:color w:val="000000" w:themeColor="text1"/>
      <w:kern w:val="0"/>
      <w:sz w:val="20"/>
      <w:lang w:val="nl-NL" w:eastAsia="en-US"/>
    </w:rPr>
  </w:style>
  <w:style w:type="character" w:customStyle="1" w:styleId="Heading2Char">
    <w:name w:val="Heading 2 Char"/>
    <w:basedOn w:val="DefaultParagraphFont"/>
    <w:link w:val="Heading2"/>
    <w:rsid w:val="00FA6321"/>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1530</Words>
  <Characters>8726</Characters>
  <Application>Microsoft Office Word</Application>
  <DocSecurity>0</DocSecurity>
  <PresentationFormat/>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7</cp:revision>
  <cp:lastPrinted>2017-11-20T20:14:00Z</cp:lastPrinted>
  <dcterms:created xsi:type="dcterms:W3CDTF">2025-02-14T13:54:00Z</dcterms:created>
  <dcterms:modified xsi:type="dcterms:W3CDTF">2025-06-02T09:41:00Z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