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40CF" w14:textId="77777777" w:rsidR="00B62FBA" w:rsidRDefault="00B62FBA" w:rsidP="00223752">
      <w:pPr>
        <w:pStyle w:val="Heading1"/>
        <w:numPr>
          <w:ilvl w:val="0"/>
          <w:numId w:val="0"/>
        </w:numPr>
        <w:spacing w:after="0" w:line="240" w:lineRule="auto"/>
        <w:rPr>
          <w:rFonts w:ascii="Arial" w:hAnsi="Arial" w:cs="Arial"/>
          <w:sz w:val="20"/>
          <w:szCs w:val="20"/>
        </w:rPr>
      </w:pPr>
      <w:bookmarkStart w:id="0" w:name="_Ref520993947"/>
      <w:bookmarkStart w:id="1" w:name="_Ref521310479"/>
      <w:bookmarkStart w:id="2" w:name="_9kR3WTr2994898AN4rsPb7A1l184A"/>
    </w:p>
    <w:p w14:paraId="0BDCCBC6" w14:textId="46CB1D41" w:rsidR="003A0414" w:rsidRPr="00B62FBA" w:rsidRDefault="00DE09EF" w:rsidP="00B62FBA">
      <w:pPr>
        <w:pStyle w:val="Heading1"/>
        <w:numPr>
          <w:ilvl w:val="0"/>
          <w:numId w:val="0"/>
        </w:numPr>
        <w:spacing w:after="0" w:line="240" w:lineRule="auto"/>
        <w:ind w:left="1077" w:hanging="1077"/>
        <w:jc w:val="center"/>
        <w:rPr>
          <w:rFonts w:ascii="Arial" w:hAnsi="Arial" w:cs="Arial"/>
          <w:sz w:val="20"/>
          <w:szCs w:val="20"/>
          <w:u w:val="none"/>
        </w:rPr>
      </w:pPr>
      <w:r>
        <w:rPr>
          <w:rFonts w:ascii="Arial" w:hAnsi="Arial" w:cs="Arial"/>
          <w:noProof/>
          <w:sz w:val="20"/>
          <w:szCs w:val="20"/>
          <w:u w:val="none"/>
        </w:rPr>
        <w:drawing>
          <wp:inline distT="0" distB="0" distL="0" distR="0" wp14:anchorId="792E2313" wp14:editId="1AF09B0A">
            <wp:extent cx="2723745" cy="1089377"/>
            <wp:effectExtent l="0" t="0" r="0" b="3175"/>
            <wp:docPr id="1327345640"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45640" name="Picture 1" descr="A logo with black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738159" cy="1095142"/>
                    </a:xfrm>
                    <a:prstGeom prst="rect">
                      <a:avLst/>
                    </a:prstGeom>
                  </pic:spPr>
                </pic:pic>
              </a:graphicData>
            </a:graphic>
          </wp:inline>
        </w:drawing>
      </w:r>
    </w:p>
    <w:p w14:paraId="533A1FE7" w14:textId="77777777" w:rsidR="00DC5255" w:rsidRDefault="00DC5255" w:rsidP="00B62FBA">
      <w:pPr>
        <w:pStyle w:val="Heading1"/>
        <w:numPr>
          <w:ilvl w:val="0"/>
          <w:numId w:val="0"/>
        </w:numPr>
        <w:spacing w:after="0" w:line="240" w:lineRule="auto"/>
        <w:rPr>
          <w:rFonts w:ascii="Arial" w:hAnsi="Arial" w:cs="Arial"/>
          <w:sz w:val="20"/>
          <w:szCs w:val="20"/>
        </w:rPr>
      </w:pPr>
    </w:p>
    <w:p w14:paraId="0E624BAD" w14:textId="3DFD5BEE" w:rsidR="00FB5C58" w:rsidRPr="00DE09EF" w:rsidRDefault="00FB5C58" w:rsidP="00B62FBA">
      <w:pPr>
        <w:pStyle w:val="Heading1"/>
        <w:numPr>
          <w:ilvl w:val="0"/>
          <w:numId w:val="0"/>
        </w:numPr>
        <w:spacing w:after="0" w:line="240" w:lineRule="auto"/>
        <w:ind w:left="1077" w:hanging="1077"/>
        <w:jc w:val="center"/>
        <w:rPr>
          <w:rFonts w:ascii="Arial" w:hAnsi="Arial" w:cs="Arial"/>
          <w:sz w:val="28"/>
          <w:szCs w:val="28"/>
        </w:rPr>
      </w:pPr>
      <w:r w:rsidRPr="00DE09EF">
        <w:rPr>
          <w:rFonts w:ascii="Arial" w:hAnsi="Arial" w:cs="Arial"/>
          <w:sz w:val="28"/>
          <w:szCs w:val="28"/>
        </w:rPr>
        <w:t>D</w:t>
      </w:r>
      <w:bookmarkEnd w:id="0"/>
      <w:r w:rsidRPr="00DE09EF">
        <w:rPr>
          <w:rFonts w:ascii="Arial" w:hAnsi="Arial" w:cs="Arial"/>
          <w:sz w:val="28"/>
          <w:szCs w:val="28"/>
        </w:rPr>
        <w:t>ata Protection</w:t>
      </w:r>
      <w:bookmarkEnd w:id="1"/>
      <w:bookmarkEnd w:id="2"/>
    </w:p>
    <w:p w14:paraId="3BBC873D" w14:textId="77777777" w:rsidR="00B62FBA" w:rsidRPr="00690807" w:rsidRDefault="00B62FBA" w:rsidP="00B62FBA">
      <w:pPr>
        <w:pStyle w:val="Heading1"/>
        <w:numPr>
          <w:ilvl w:val="0"/>
          <w:numId w:val="0"/>
        </w:numPr>
        <w:spacing w:after="0" w:line="240" w:lineRule="auto"/>
        <w:ind w:left="1077" w:hanging="1077"/>
        <w:jc w:val="center"/>
        <w:rPr>
          <w:rFonts w:ascii="Arial" w:hAnsi="Arial" w:cs="Arial"/>
          <w:sz w:val="20"/>
          <w:szCs w:val="20"/>
        </w:rPr>
      </w:pPr>
    </w:p>
    <w:p w14:paraId="6BFDE970" w14:textId="77777777" w:rsidR="00FB5C58" w:rsidRPr="00690807" w:rsidRDefault="00FB5C58" w:rsidP="00FB5C58">
      <w:pPr>
        <w:pStyle w:val="Heading2"/>
        <w:tabs>
          <w:tab w:val="clear" w:pos="1077"/>
          <w:tab w:val="num" w:pos="709"/>
        </w:tabs>
        <w:spacing w:after="0" w:line="240" w:lineRule="auto"/>
        <w:ind w:left="709" w:hanging="709"/>
        <w:rPr>
          <w:rFonts w:cs="Arial"/>
          <w:color w:val="auto"/>
          <w:sz w:val="20"/>
        </w:rPr>
      </w:pPr>
      <w:bookmarkStart w:id="3" w:name="_Ref522874905"/>
      <w:bookmarkStart w:id="4" w:name="_9kR3WTr29947HHABeSktqtD5r21yAFBxu9PG2EI"/>
      <w:r w:rsidRPr="00690807">
        <w:rPr>
          <w:rFonts w:cs="Arial"/>
          <w:color w:val="auto"/>
          <w:sz w:val="20"/>
        </w:rPr>
        <w:t xml:space="preserve">The parties consider the sharing of certain </w:t>
      </w:r>
      <w:bookmarkStart w:id="5" w:name="_9kMHG5YVt48867DdKt862poSCz0"/>
      <w:r w:rsidRPr="00690807">
        <w:rPr>
          <w:rFonts w:cs="Arial"/>
          <w:color w:val="auto"/>
          <w:sz w:val="20"/>
        </w:rPr>
        <w:t>Personal Data</w:t>
      </w:r>
      <w:bookmarkEnd w:id="5"/>
      <w:r w:rsidRPr="00690807">
        <w:rPr>
          <w:rFonts w:cs="Arial"/>
          <w:color w:val="auto"/>
          <w:sz w:val="20"/>
        </w:rPr>
        <w:t xml:space="preserve"> of delegates to the Event</w:t>
      </w:r>
      <w:r>
        <w:rPr>
          <w:rFonts w:cs="Arial"/>
          <w:color w:val="auto"/>
          <w:sz w:val="20"/>
        </w:rPr>
        <w:t>(</w:t>
      </w:r>
      <w:r w:rsidRPr="00690807">
        <w:rPr>
          <w:rFonts w:cs="Arial"/>
          <w:color w:val="auto"/>
          <w:sz w:val="20"/>
        </w:rPr>
        <w:t>s</w:t>
      </w:r>
      <w:r>
        <w:rPr>
          <w:rFonts w:cs="Arial"/>
          <w:color w:val="auto"/>
          <w:sz w:val="20"/>
        </w:rPr>
        <w:t>)</w:t>
      </w:r>
      <w:r w:rsidRPr="00690807">
        <w:rPr>
          <w:rFonts w:cs="Arial"/>
          <w:color w:val="auto"/>
          <w:sz w:val="20"/>
        </w:rPr>
        <w:t xml:space="preserve"> is necessary to enable the parties, both acting as </w:t>
      </w:r>
      <w:bookmarkStart w:id="6" w:name="_9kMHG5YVt48867AO4rsCL39EA53x4"/>
      <w:r w:rsidRPr="00690807">
        <w:rPr>
          <w:rFonts w:cs="Arial"/>
          <w:color w:val="auto"/>
          <w:sz w:val="20"/>
        </w:rPr>
        <w:t>Data Controllers</w:t>
      </w:r>
      <w:bookmarkEnd w:id="6"/>
      <w:r w:rsidRPr="00690807">
        <w:rPr>
          <w:rFonts w:cs="Arial"/>
          <w:color w:val="auto"/>
          <w:sz w:val="20"/>
        </w:rPr>
        <w:t>, to fulfil their obligations and exercise their rights under this agreement.</w:t>
      </w:r>
      <w:bookmarkEnd w:id="3"/>
      <w:bookmarkEnd w:id="4"/>
    </w:p>
    <w:p w14:paraId="06F1535E" w14:textId="77777777" w:rsidR="00FB5C58" w:rsidRPr="00690807" w:rsidRDefault="00FB5C58" w:rsidP="00FB5C58">
      <w:pPr>
        <w:pStyle w:val="Heading2"/>
        <w:tabs>
          <w:tab w:val="clear" w:pos="1077"/>
          <w:tab w:val="num" w:pos="709"/>
        </w:tabs>
        <w:spacing w:after="0" w:line="240" w:lineRule="auto"/>
        <w:ind w:left="709" w:hanging="709"/>
        <w:rPr>
          <w:rFonts w:cs="Arial"/>
          <w:color w:val="auto"/>
          <w:sz w:val="20"/>
        </w:rPr>
      </w:pPr>
      <w:r w:rsidRPr="00690807">
        <w:rPr>
          <w:rFonts w:cs="Arial"/>
          <w:color w:val="auto"/>
          <w:sz w:val="20"/>
        </w:rPr>
        <w:t>T</w:t>
      </w:r>
      <w:bookmarkStart w:id="7" w:name="_9kR3WTr26645DdV1nevA"/>
      <w:r>
        <w:rPr>
          <w:rFonts w:cs="Arial"/>
          <w:color w:val="auto"/>
          <w:sz w:val="20"/>
        </w:rPr>
        <w:t xml:space="preserve">he parties agree to only share, </w:t>
      </w:r>
      <w:r w:rsidRPr="00690807">
        <w:rPr>
          <w:rFonts w:cs="Arial"/>
          <w:color w:val="auto"/>
          <w:sz w:val="20"/>
        </w:rPr>
        <w:t>Process</w:t>
      </w:r>
      <w:bookmarkEnd w:id="7"/>
      <w:r w:rsidRPr="00690807">
        <w:rPr>
          <w:rFonts w:cs="Arial"/>
          <w:color w:val="auto"/>
          <w:sz w:val="20"/>
        </w:rPr>
        <w:t xml:space="preserve"> </w:t>
      </w:r>
      <w:r>
        <w:rPr>
          <w:rFonts w:cs="Arial"/>
          <w:color w:val="auto"/>
          <w:sz w:val="20"/>
        </w:rPr>
        <w:t xml:space="preserve">and use </w:t>
      </w:r>
      <w:r w:rsidRPr="00690807">
        <w:rPr>
          <w:rFonts w:cs="Arial"/>
          <w:color w:val="auto"/>
          <w:sz w:val="20"/>
        </w:rPr>
        <w:t xml:space="preserve">relevant </w:t>
      </w:r>
      <w:bookmarkStart w:id="8" w:name="_9kMIH5YVt48867DdKt862poSCz0"/>
      <w:r w:rsidRPr="00690807">
        <w:rPr>
          <w:rFonts w:cs="Arial"/>
          <w:color w:val="auto"/>
          <w:sz w:val="20"/>
        </w:rPr>
        <w:t>Personal Data</w:t>
      </w:r>
      <w:bookmarkEnd w:id="8"/>
      <w:r w:rsidRPr="00690807">
        <w:rPr>
          <w:rFonts w:cs="Arial"/>
          <w:color w:val="auto"/>
          <w:sz w:val="20"/>
        </w:rPr>
        <w:t xml:space="preserve"> in accordance with clause </w:t>
      </w:r>
      <w:r w:rsidRPr="00690807">
        <w:rPr>
          <w:rFonts w:cs="Arial"/>
          <w:color w:val="auto"/>
          <w:sz w:val="20"/>
        </w:rPr>
        <w:fldChar w:fldCharType="begin"/>
      </w:r>
      <w:r w:rsidRPr="00690807">
        <w:rPr>
          <w:rFonts w:cs="Arial"/>
          <w:color w:val="auto"/>
          <w:sz w:val="20"/>
        </w:rPr>
        <w:instrText xml:space="preserve"> REF _Ref522874905 \r \h  \* MERGEFORMAT </w:instrText>
      </w:r>
      <w:r w:rsidRPr="00690807">
        <w:rPr>
          <w:rFonts w:cs="Arial"/>
          <w:color w:val="auto"/>
          <w:sz w:val="20"/>
        </w:rPr>
      </w:r>
      <w:r w:rsidRPr="00690807">
        <w:rPr>
          <w:rFonts w:cs="Arial"/>
          <w:color w:val="auto"/>
          <w:sz w:val="20"/>
        </w:rPr>
        <w:fldChar w:fldCharType="separate"/>
      </w:r>
      <w:bookmarkStart w:id="9" w:name="_9kMHG5YVt4BB69JJCDgUmvsvF7t430CHDzwBRI4"/>
      <w:r>
        <w:rPr>
          <w:rFonts w:cs="Arial"/>
          <w:color w:val="auto"/>
          <w:sz w:val="20"/>
        </w:rPr>
        <w:t>11.1</w:t>
      </w:r>
      <w:bookmarkEnd w:id="9"/>
      <w:r w:rsidRPr="00690807">
        <w:rPr>
          <w:rFonts w:cs="Arial"/>
          <w:color w:val="auto"/>
          <w:sz w:val="20"/>
        </w:rPr>
        <w:fldChar w:fldCharType="end"/>
      </w:r>
      <w:r w:rsidRPr="00690807">
        <w:rPr>
          <w:rFonts w:cs="Arial"/>
          <w:color w:val="auto"/>
          <w:sz w:val="20"/>
        </w:rPr>
        <w:t xml:space="preserve"> du</w:t>
      </w:r>
      <w:r>
        <w:rPr>
          <w:rFonts w:cs="Arial"/>
          <w:color w:val="auto"/>
          <w:sz w:val="20"/>
        </w:rPr>
        <w:t xml:space="preserve">ring the Term of this agreement, </w:t>
      </w:r>
      <w:r w:rsidRPr="00690807">
        <w:rPr>
          <w:rFonts w:cs="Arial"/>
          <w:color w:val="auto"/>
          <w:sz w:val="20"/>
        </w:rPr>
        <w:t xml:space="preserve">shared by </w:t>
      </w:r>
      <w:r>
        <w:rPr>
          <w:rFonts w:cs="Arial"/>
          <w:color w:val="auto"/>
          <w:sz w:val="20"/>
        </w:rPr>
        <w:t>INSOL EUROPE</w:t>
      </w:r>
      <w:r w:rsidRPr="00690807">
        <w:rPr>
          <w:rFonts w:cs="Arial"/>
          <w:color w:val="auto"/>
          <w:sz w:val="20"/>
        </w:rPr>
        <w:t xml:space="preserve"> under this agreement</w:t>
      </w:r>
      <w:r>
        <w:rPr>
          <w:rFonts w:cs="Arial"/>
          <w:color w:val="auto"/>
          <w:sz w:val="20"/>
        </w:rPr>
        <w:t>,</w:t>
      </w:r>
      <w:r w:rsidRPr="00690807">
        <w:rPr>
          <w:rFonts w:cs="Arial"/>
          <w:color w:val="auto"/>
          <w:sz w:val="20"/>
        </w:rPr>
        <w:t xml:space="preserve"> for the purpose of inviting delegates</w:t>
      </w:r>
      <w:r>
        <w:rPr>
          <w:rFonts w:cs="Arial"/>
          <w:color w:val="auto"/>
          <w:sz w:val="20"/>
        </w:rPr>
        <w:t xml:space="preserve"> of the Event(s)</w:t>
      </w:r>
      <w:r w:rsidRPr="00690807">
        <w:rPr>
          <w:rFonts w:cs="Arial"/>
          <w:color w:val="auto"/>
          <w:sz w:val="20"/>
        </w:rPr>
        <w:t xml:space="preserve"> to private VIP or official </w:t>
      </w:r>
      <w:bookmarkStart w:id="10" w:name="_9kMIH5YVt46668ESQxq6"/>
      <w:r w:rsidRPr="00690807">
        <w:rPr>
          <w:rFonts w:cs="Arial"/>
          <w:color w:val="auto"/>
          <w:sz w:val="20"/>
        </w:rPr>
        <w:t>events</w:t>
      </w:r>
      <w:bookmarkEnd w:id="10"/>
      <w:r w:rsidRPr="00690807">
        <w:rPr>
          <w:rFonts w:cs="Arial"/>
          <w:color w:val="auto"/>
          <w:sz w:val="20"/>
        </w:rPr>
        <w:t xml:space="preserve"> taking place during or in connection with </w:t>
      </w:r>
      <w:r>
        <w:rPr>
          <w:rFonts w:cs="Arial"/>
          <w:color w:val="auto"/>
          <w:sz w:val="20"/>
        </w:rPr>
        <w:t>each</w:t>
      </w:r>
      <w:r w:rsidRPr="00690807">
        <w:rPr>
          <w:rFonts w:cs="Arial"/>
          <w:color w:val="auto"/>
          <w:sz w:val="20"/>
        </w:rPr>
        <w:t xml:space="preserve"> Event (the “</w:t>
      </w:r>
      <w:r w:rsidRPr="00690807">
        <w:rPr>
          <w:rFonts w:cs="Arial"/>
          <w:b/>
          <w:color w:val="auto"/>
          <w:sz w:val="20"/>
        </w:rPr>
        <w:t>Functions</w:t>
      </w:r>
      <w:r w:rsidRPr="00690807">
        <w:rPr>
          <w:rFonts w:cs="Arial"/>
          <w:color w:val="auto"/>
          <w:sz w:val="20"/>
        </w:rPr>
        <w:t xml:space="preserve">”), such Functions to be approved in advance by </w:t>
      </w:r>
      <w:r>
        <w:rPr>
          <w:rFonts w:cs="Arial"/>
          <w:color w:val="auto"/>
          <w:sz w:val="20"/>
        </w:rPr>
        <w:t>INSOL EUROPE</w:t>
      </w:r>
      <w:r w:rsidRPr="00690807">
        <w:rPr>
          <w:rFonts w:cs="Arial"/>
          <w:color w:val="auto"/>
          <w:sz w:val="20"/>
        </w:rPr>
        <w:t>, and for such other purposes as may be agreed between the parties in writing (the “</w:t>
      </w:r>
      <w:r w:rsidRPr="00690807">
        <w:rPr>
          <w:rFonts w:cs="Arial"/>
          <w:b/>
          <w:color w:val="auto"/>
          <w:sz w:val="20"/>
        </w:rPr>
        <w:t>Agreed Purposes</w:t>
      </w:r>
      <w:r w:rsidRPr="00690807">
        <w:rPr>
          <w:rFonts w:cs="Arial"/>
          <w:color w:val="auto"/>
          <w:sz w:val="20"/>
        </w:rPr>
        <w:t>”).</w:t>
      </w:r>
    </w:p>
    <w:p w14:paraId="7318035A" w14:textId="77777777" w:rsidR="00FB5C58" w:rsidRPr="00690807" w:rsidRDefault="00FB5C58" w:rsidP="00FB5C58">
      <w:pPr>
        <w:pStyle w:val="Heading2"/>
        <w:tabs>
          <w:tab w:val="clear" w:pos="1077"/>
          <w:tab w:val="num" w:pos="709"/>
        </w:tabs>
        <w:spacing w:after="0" w:line="240" w:lineRule="auto"/>
        <w:ind w:left="709" w:hanging="709"/>
        <w:rPr>
          <w:rFonts w:cs="Arial"/>
          <w:color w:val="auto"/>
          <w:sz w:val="20"/>
        </w:rPr>
      </w:pPr>
      <w:r w:rsidRPr="00690807">
        <w:rPr>
          <w:rFonts w:cs="Arial"/>
          <w:color w:val="auto"/>
          <w:sz w:val="20"/>
        </w:rPr>
        <w:t xml:space="preserve">The following types of </w:t>
      </w:r>
      <w:bookmarkStart w:id="11" w:name="_9kMKJ5YVt48867DdKt862poSCz0"/>
      <w:r w:rsidRPr="00690807">
        <w:rPr>
          <w:rFonts w:cs="Arial"/>
          <w:color w:val="auto"/>
          <w:sz w:val="20"/>
        </w:rPr>
        <w:t>Personal Data</w:t>
      </w:r>
      <w:bookmarkEnd w:id="11"/>
      <w:r w:rsidRPr="00690807">
        <w:rPr>
          <w:rFonts w:cs="Arial"/>
          <w:color w:val="auto"/>
          <w:sz w:val="20"/>
        </w:rPr>
        <w:t xml:space="preserve"> may be shared between the parties in connection with the Agreed Purposes:</w:t>
      </w:r>
    </w:p>
    <w:p w14:paraId="7B459B76" w14:textId="77777777" w:rsidR="00FB5C58" w:rsidRPr="00690807" w:rsidRDefault="00FB5C58" w:rsidP="00FB5C58">
      <w:pPr>
        <w:pStyle w:val="Heading3"/>
        <w:numPr>
          <w:ilvl w:val="2"/>
          <w:numId w:val="3"/>
        </w:numPr>
        <w:tabs>
          <w:tab w:val="clear" w:pos="1985"/>
          <w:tab w:val="left" w:pos="1560"/>
        </w:tabs>
        <w:ind w:left="1560" w:hanging="851"/>
      </w:pPr>
      <w:r w:rsidRPr="00690807">
        <w:t xml:space="preserve">Identity data, including a </w:t>
      </w:r>
      <w:bookmarkStart w:id="12" w:name="_9kMHG5YVt48867CQ4rsShxnrl1"/>
      <w:r w:rsidRPr="00690807">
        <w:t>Data Subject’s</w:t>
      </w:r>
      <w:bookmarkEnd w:id="12"/>
      <w:r w:rsidRPr="00690807">
        <w:t xml:space="preserve"> title, name, surname, gender; and</w:t>
      </w:r>
    </w:p>
    <w:p w14:paraId="386A032A" w14:textId="77777777" w:rsidR="00FB5C58" w:rsidRPr="00690807" w:rsidRDefault="00FB5C58" w:rsidP="00FB5C58">
      <w:pPr>
        <w:pStyle w:val="Heading3"/>
        <w:numPr>
          <w:ilvl w:val="2"/>
          <w:numId w:val="3"/>
        </w:numPr>
        <w:tabs>
          <w:tab w:val="clear" w:pos="1985"/>
          <w:tab w:val="left" w:pos="1560"/>
        </w:tabs>
        <w:ind w:left="1560" w:hanging="851"/>
      </w:pPr>
      <w:r w:rsidRPr="00690807">
        <w:t xml:space="preserve">Contact data, including a </w:t>
      </w:r>
      <w:bookmarkStart w:id="13" w:name="_9kMIH5YVt48867CQ4rsShxnrl1"/>
      <w:r w:rsidRPr="00690807">
        <w:t>Data Subject’s</w:t>
      </w:r>
      <w:bookmarkEnd w:id="13"/>
      <w:r w:rsidRPr="00690807">
        <w:t xml:space="preserve"> email address, postal address and/or telephone number.</w:t>
      </w:r>
    </w:p>
    <w:p w14:paraId="5608417E" w14:textId="77777777" w:rsidR="00FB5C58" w:rsidRPr="00690807" w:rsidRDefault="00FB5C58" w:rsidP="00FB5C58">
      <w:pPr>
        <w:pStyle w:val="Heading2"/>
        <w:tabs>
          <w:tab w:val="clear" w:pos="1077"/>
          <w:tab w:val="num" w:pos="709"/>
        </w:tabs>
        <w:spacing w:after="0" w:line="240" w:lineRule="auto"/>
        <w:ind w:left="709" w:hanging="709"/>
        <w:rPr>
          <w:rFonts w:cs="Arial"/>
          <w:color w:val="auto"/>
          <w:sz w:val="20"/>
        </w:rPr>
      </w:pPr>
      <w:r w:rsidRPr="00690807">
        <w:rPr>
          <w:rFonts w:cs="Arial"/>
          <w:color w:val="auto"/>
          <w:sz w:val="20"/>
        </w:rPr>
        <w:t xml:space="preserve">No “special category personal data” (as identified in </w:t>
      </w:r>
      <w:bookmarkStart w:id="14" w:name="_9kR3WTr2CC478HG6yimpEP"/>
      <w:r w:rsidRPr="00690807">
        <w:rPr>
          <w:rFonts w:cs="Arial"/>
          <w:color w:val="auto"/>
          <w:sz w:val="20"/>
        </w:rPr>
        <w:t>Article 9(1)</w:t>
      </w:r>
      <w:bookmarkEnd w:id="14"/>
      <w:r w:rsidRPr="00690807">
        <w:rPr>
          <w:rFonts w:cs="Arial"/>
          <w:color w:val="auto"/>
          <w:sz w:val="20"/>
        </w:rPr>
        <w:t xml:space="preserve"> of GDPR, together with any information concerning criminal convictions) will be shared by either party in connection with this agreement.</w:t>
      </w:r>
    </w:p>
    <w:p w14:paraId="15C55372" w14:textId="77777777" w:rsidR="00FB5C58" w:rsidRPr="00690807" w:rsidRDefault="00FB5C58" w:rsidP="00FB5C58">
      <w:pPr>
        <w:pStyle w:val="Heading2"/>
        <w:tabs>
          <w:tab w:val="clear" w:pos="1077"/>
          <w:tab w:val="num" w:pos="709"/>
          <w:tab w:val="num" w:pos="1134"/>
        </w:tabs>
        <w:spacing w:after="0" w:line="240" w:lineRule="auto"/>
        <w:ind w:left="709" w:hanging="709"/>
        <w:rPr>
          <w:rFonts w:cs="Arial"/>
          <w:color w:val="auto"/>
          <w:sz w:val="20"/>
        </w:rPr>
      </w:pPr>
      <w:r w:rsidRPr="00690807">
        <w:rPr>
          <w:rFonts w:cs="Arial"/>
          <w:color w:val="auto"/>
          <w:sz w:val="20"/>
        </w:rPr>
        <w:t>Each party shall:</w:t>
      </w:r>
    </w:p>
    <w:p w14:paraId="4E1EF9A1" w14:textId="77777777" w:rsidR="00FB5C58" w:rsidRPr="00690807" w:rsidRDefault="00FB5C58" w:rsidP="00FB5C58">
      <w:pPr>
        <w:pStyle w:val="Heading3"/>
        <w:numPr>
          <w:ilvl w:val="2"/>
          <w:numId w:val="4"/>
        </w:numPr>
        <w:tabs>
          <w:tab w:val="clear" w:pos="1985"/>
          <w:tab w:val="left" w:pos="1560"/>
        </w:tabs>
        <w:ind w:left="1560" w:hanging="851"/>
      </w:pPr>
      <w:r w:rsidRPr="00690807">
        <w:t>appoint a single point of contact (“</w:t>
      </w:r>
      <w:proofErr w:type="spellStart"/>
      <w:r w:rsidRPr="00A675E7">
        <w:rPr>
          <w:b/>
        </w:rPr>
        <w:t>SPoC</w:t>
      </w:r>
      <w:proofErr w:type="spellEnd"/>
      <w:r w:rsidRPr="00690807">
        <w:t xml:space="preserve">”) who will work together with the other party’s </w:t>
      </w:r>
      <w:proofErr w:type="spellStart"/>
      <w:r w:rsidRPr="00690807">
        <w:t>SPoC</w:t>
      </w:r>
      <w:proofErr w:type="spellEnd"/>
      <w:r w:rsidRPr="00690807">
        <w:t xml:space="preserve"> to reach an agreement with regards to any issues arising from the data sharing activity envisaged under this clause </w:t>
      </w:r>
      <w:r w:rsidRPr="00690807">
        <w:fldChar w:fldCharType="begin"/>
      </w:r>
      <w:r w:rsidRPr="00690807">
        <w:instrText xml:space="preserve"> REF _Ref520993947 \r \h  \* MERGEFORMAT </w:instrText>
      </w:r>
      <w:r w:rsidRPr="00690807">
        <w:fldChar w:fldCharType="separate"/>
      </w:r>
      <w:bookmarkStart w:id="15" w:name="_9kMHG5YVt4BB6ABACP6tuRd9C3n3A6C"/>
      <w:r>
        <w:t>11</w:t>
      </w:r>
      <w:bookmarkEnd w:id="15"/>
      <w:r w:rsidRPr="00690807">
        <w:fldChar w:fldCharType="end"/>
      </w:r>
      <w:r w:rsidRPr="00690807">
        <w:t xml:space="preserve"> and to actively improve the effectiveness of the data sharing initiative.  Each party will notify the other of the identity of their </w:t>
      </w:r>
      <w:proofErr w:type="spellStart"/>
      <w:r w:rsidRPr="00690807">
        <w:t>SPoC</w:t>
      </w:r>
      <w:proofErr w:type="spellEnd"/>
      <w:r w:rsidRPr="00690807">
        <w:t>;</w:t>
      </w:r>
    </w:p>
    <w:p w14:paraId="155B7EB1" w14:textId="77777777" w:rsidR="00FB5C58" w:rsidRPr="00690807" w:rsidRDefault="00FB5C58" w:rsidP="00FB5C58">
      <w:pPr>
        <w:pStyle w:val="Heading3"/>
        <w:numPr>
          <w:ilvl w:val="2"/>
          <w:numId w:val="4"/>
        </w:numPr>
        <w:tabs>
          <w:tab w:val="clear" w:pos="1985"/>
          <w:tab w:val="left" w:pos="1560"/>
        </w:tabs>
        <w:ind w:left="1560" w:hanging="851"/>
      </w:pPr>
      <w:r w:rsidRPr="00690807">
        <w:t xml:space="preserve">comply at all times with all applicable requirements of the Data Protection Legislation in connection with the </w:t>
      </w:r>
      <w:bookmarkStart w:id="16" w:name="_9kR3WTr26645EeV1nevA1xw"/>
      <w:r w:rsidRPr="00690807">
        <w:t>Processing</w:t>
      </w:r>
      <w:bookmarkEnd w:id="16"/>
      <w:r w:rsidRPr="00690807">
        <w:t xml:space="preserve"> of the </w:t>
      </w:r>
      <w:bookmarkStart w:id="17" w:name="_9kMLK5YVt48867DdKt862poSCz0"/>
      <w:r w:rsidRPr="00690807">
        <w:t>Personal Data</w:t>
      </w:r>
      <w:bookmarkEnd w:id="17"/>
      <w:r w:rsidRPr="00690807">
        <w:t xml:space="preserve"> shared between the parties for the purpose of performing this agreement;</w:t>
      </w:r>
    </w:p>
    <w:p w14:paraId="721800AC" w14:textId="77777777" w:rsidR="00FB5C58" w:rsidRPr="00690807" w:rsidRDefault="00FB5C58" w:rsidP="00FB5C58">
      <w:pPr>
        <w:pStyle w:val="Heading3"/>
        <w:numPr>
          <w:ilvl w:val="2"/>
          <w:numId w:val="4"/>
        </w:numPr>
        <w:tabs>
          <w:tab w:val="clear" w:pos="1985"/>
          <w:tab w:val="left" w:pos="1560"/>
        </w:tabs>
        <w:ind w:left="1560" w:hanging="851"/>
      </w:pPr>
      <w:r w:rsidRPr="00690807">
        <w:t xml:space="preserve">use their reasonable endeavours to comply with the </w:t>
      </w:r>
      <w:bookmarkStart w:id="18" w:name="_9kR3WTr26645FYKoq32mu3z5UQ763ALC9F6BQnQ"/>
      <w:r w:rsidRPr="00690807">
        <w:t>Information Commissioner’s Data Sharing Code of Practice</w:t>
      </w:r>
      <w:bookmarkEnd w:id="18"/>
      <w:r w:rsidRPr="00690807">
        <w:t xml:space="preserve"> of May 2011 (as updated or amended from time to time), and any other relevant professional guidance and voluntary industry codes;</w:t>
      </w:r>
    </w:p>
    <w:p w14:paraId="1DDEC56A" w14:textId="77777777" w:rsidR="00FB5C58" w:rsidRPr="00690807" w:rsidRDefault="00FB5C58" w:rsidP="00FB5C58">
      <w:pPr>
        <w:pStyle w:val="Heading3"/>
        <w:numPr>
          <w:ilvl w:val="2"/>
          <w:numId w:val="4"/>
        </w:numPr>
        <w:tabs>
          <w:tab w:val="clear" w:pos="1985"/>
          <w:tab w:val="left" w:pos="1560"/>
        </w:tabs>
        <w:ind w:left="1560" w:hanging="851"/>
      </w:pPr>
      <w:r>
        <w:t xml:space="preserve">not </w:t>
      </w:r>
      <w:r w:rsidRPr="00690807">
        <w:t xml:space="preserve">share </w:t>
      </w:r>
      <w:bookmarkStart w:id="19" w:name="_9kMML5YVt48867DdKt862poSCz0"/>
      <w:r w:rsidRPr="00690807">
        <w:t>Personal Data</w:t>
      </w:r>
      <w:bookmarkEnd w:id="19"/>
      <w:r w:rsidRPr="00690807">
        <w:t xml:space="preserve"> which is irrelevant or excessive having regard to the Agreed Purpose;</w:t>
      </w:r>
    </w:p>
    <w:p w14:paraId="064841F6" w14:textId="77777777" w:rsidR="00FB5C58" w:rsidRPr="00690807" w:rsidRDefault="00FB5C58" w:rsidP="00FB5C58">
      <w:pPr>
        <w:pStyle w:val="Heading3"/>
        <w:numPr>
          <w:ilvl w:val="2"/>
          <w:numId w:val="4"/>
        </w:numPr>
        <w:tabs>
          <w:tab w:val="clear" w:pos="1985"/>
          <w:tab w:val="left" w:pos="1560"/>
        </w:tabs>
        <w:ind w:left="1560" w:hanging="851"/>
      </w:pPr>
      <w:r w:rsidRPr="00690807">
        <w:t xml:space="preserve">ensure that the </w:t>
      </w:r>
      <w:bookmarkStart w:id="20" w:name="_9kMNM5YVt48867DdKt862poSCz0"/>
      <w:r w:rsidRPr="00690807">
        <w:t>Personal Data</w:t>
      </w:r>
      <w:bookmarkEnd w:id="20"/>
      <w:r w:rsidRPr="00690807">
        <w:t xml:space="preserve"> shared with the other party is accurate and up to date;</w:t>
      </w:r>
    </w:p>
    <w:p w14:paraId="1D1734AA" w14:textId="77777777" w:rsidR="00FB5C58" w:rsidRPr="00690807" w:rsidRDefault="00FB5C58" w:rsidP="00FB5C58">
      <w:pPr>
        <w:pStyle w:val="Heading3"/>
        <w:numPr>
          <w:ilvl w:val="2"/>
          <w:numId w:val="4"/>
        </w:numPr>
        <w:tabs>
          <w:tab w:val="clear" w:pos="1985"/>
          <w:tab w:val="left" w:pos="1560"/>
        </w:tabs>
        <w:ind w:left="1560" w:hanging="851"/>
      </w:pPr>
      <w:bookmarkStart w:id="21" w:name="_9kMHG5YVt48867FfX3pgxC"/>
      <w:r w:rsidRPr="00690807">
        <w:t>Process</w:t>
      </w:r>
      <w:bookmarkEnd w:id="21"/>
      <w:r w:rsidRPr="00690807">
        <w:t xml:space="preserve"> the shared </w:t>
      </w:r>
      <w:bookmarkStart w:id="22" w:name="_9kMON5YVt48867DdKt862poSCz0"/>
      <w:r w:rsidRPr="00690807">
        <w:t>Personal Data</w:t>
      </w:r>
      <w:bookmarkEnd w:id="22"/>
      <w:r w:rsidRPr="00690807">
        <w:t xml:space="preserve"> fairly and lawfully and in accordance with the Data Protection Legislation, and only where one or more legal ground for doing so applies;</w:t>
      </w:r>
    </w:p>
    <w:p w14:paraId="1E4C1D60" w14:textId="77777777" w:rsidR="00FB5C58" w:rsidRPr="00690807" w:rsidRDefault="00FB5C58" w:rsidP="00FB5C58">
      <w:pPr>
        <w:pStyle w:val="Heading3"/>
        <w:numPr>
          <w:ilvl w:val="2"/>
          <w:numId w:val="4"/>
        </w:numPr>
        <w:tabs>
          <w:tab w:val="clear" w:pos="1985"/>
          <w:tab w:val="left" w:pos="1560"/>
        </w:tabs>
        <w:ind w:left="1560" w:hanging="851"/>
      </w:pPr>
      <w:r w:rsidRPr="00690807">
        <w:t xml:space="preserve">inform </w:t>
      </w:r>
      <w:bookmarkStart w:id="23" w:name="_9kMJI5YVt48867CQ4rsShxnrl1"/>
      <w:r w:rsidRPr="00690807">
        <w:t>Data Subjects</w:t>
      </w:r>
      <w:bookmarkEnd w:id="23"/>
      <w:r w:rsidRPr="00690807">
        <w:t xml:space="preserve"> of all matters required by the Data Protection Legislation;</w:t>
      </w:r>
    </w:p>
    <w:p w14:paraId="690FA784" w14:textId="77777777" w:rsidR="00FB5C58" w:rsidRPr="00690807" w:rsidRDefault="00FB5C58" w:rsidP="00FB5C58">
      <w:pPr>
        <w:pStyle w:val="Heading3"/>
        <w:numPr>
          <w:ilvl w:val="2"/>
          <w:numId w:val="4"/>
        </w:numPr>
        <w:tabs>
          <w:tab w:val="clear" w:pos="1985"/>
          <w:tab w:val="left" w:pos="1560"/>
        </w:tabs>
        <w:ind w:left="1560" w:hanging="851"/>
      </w:pPr>
      <w:r w:rsidRPr="00690807">
        <w:t xml:space="preserve">not retain or </w:t>
      </w:r>
      <w:bookmarkStart w:id="24" w:name="_9kMIH5YVt48867FfX3pgxC"/>
      <w:r w:rsidRPr="00690807">
        <w:t>Process</w:t>
      </w:r>
      <w:bookmarkEnd w:id="24"/>
      <w:r w:rsidRPr="00690807">
        <w:t xml:space="preserve"> the shared </w:t>
      </w:r>
      <w:bookmarkStart w:id="25" w:name="_9kMPO5YVt48867DdKt862poSCz0"/>
      <w:r w:rsidRPr="00690807">
        <w:t>Personal Data</w:t>
      </w:r>
      <w:bookmarkEnd w:id="25"/>
      <w:r w:rsidRPr="00690807">
        <w:t xml:space="preserve"> for longer than is necessary to carry out the Agreed Purposes unless in accordance with the Data Protection Legislation.  For the avoidance of doubt, the Sponsor must not </w:t>
      </w:r>
      <w:bookmarkStart w:id="26" w:name="_9kMJI5YVt48867FfX3pgxC"/>
      <w:r w:rsidRPr="00690807">
        <w:t>Process</w:t>
      </w:r>
      <w:bookmarkEnd w:id="26"/>
      <w:r w:rsidRPr="00690807">
        <w:t xml:space="preserve"> any </w:t>
      </w:r>
      <w:bookmarkStart w:id="27" w:name="_9kMHzG6ZWu59978EeLu973qpTD01"/>
      <w:r w:rsidRPr="00690807">
        <w:t>Personal Data</w:t>
      </w:r>
      <w:bookmarkEnd w:id="27"/>
      <w:r w:rsidRPr="00690807">
        <w:t xml:space="preserve"> shared by </w:t>
      </w:r>
      <w:r>
        <w:t>INSOL EUROPE</w:t>
      </w:r>
      <w:r w:rsidRPr="00690807">
        <w:t xml:space="preserve"> after the termination or expiry of this agreement unless it has established a legal basis for </w:t>
      </w:r>
      <w:bookmarkStart w:id="28" w:name="_9kMHG5YVt48867GgX3pgxC3zy"/>
      <w:r w:rsidRPr="00690807">
        <w:t>Processing</w:t>
      </w:r>
      <w:bookmarkEnd w:id="28"/>
      <w:r w:rsidRPr="00690807">
        <w:t xml:space="preserve"> such </w:t>
      </w:r>
      <w:bookmarkStart w:id="29" w:name="_9kMH0H6ZWu59978EeLu973qpTD01"/>
      <w:r w:rsidRPr="00690807">
        <w:t>Personal Data</w:t>
      </w:r>
      <w:bookmarkEnd w:id="29"/>
      <w:r w:rsidRPr="00690807">
        <w:t xml:space="preserve"> outside of this agreement including without limitation obtaining the consent of </w:t>
      </w:r>
      <w:bookmarkStart w:id="30" w:name="_9kMKJ5YVt48867CQ4rsShxnrl1"/>
      <w:r w:rsidRPr="00690807">
        <w:t>Data Subjects</w:t>
      </w:r>
      <w:bookmarkEnd w:id="30"/>
      <w:r w:rsidRPr="00690807">
        <w:t xml:space="preserve"> to such </w:t>
      </w:r>
      <w:bookmarkStart w:id="31" w:name="_9kMIH5YVt48867GgX3pgxC3zy"/>
      <w:r w:rsidRPr="00690807">
        <w:t>Processing</w:t>
      </w:r>
      <w:bookmarkEnd w:id="31"/>
      <w:r w:rsidRPr="00690807">
        <w:t xml:space="preserve"> where required;</w:t>
      </w:r>
    </w:p>
    <w:p w14:paraId="189A6346" w14:textId="77777777" w:rsidR="00FB5C58" w:rsidRPr="00690807" w:rsidRDefault="00FB5C58" w:rsidP="00FB5C58">
      <w:pPr>
        <w:pStyle w:val="Heading3"/>
        <w:numPr>
          <w:ilvl w:val="2"/>
          <w:numId w:val="4"/>
        </w:numPr>
        <w:tabs>
          <w:tab w:val="clear" w:pos="1985"/>
          <w:tab w:val="left" w:pos="1560"/>
        </w:tabs>
        <w:ind w:left="1560" w:hanging="851"/>
      </w:pPr>
      <w:r w:rsidRPr="00690807">
        <w:t xml:space="preserve">ensure that any shared </w:t>
      </w:r>
      <w:bookmarkStart w:id="32" w:name="_9kMH1I6ZWu59978EeLu973qpTD01"/>
      <w:r w:rsidRPr="00690807">
        <w:t>Personal Data</w:t>
      </w:r>
      <w:bookmarkEnd w:id="32"/>
      <w:r w:rsidRPr="00690807">
        <w:t xml:space="preserve"> is returned to the sending party or destroyed upon the termination or expiry of this agreement, or if the retention of the shared </w:t>
      </w:r>
      <w:bookmarkStart w:id="33" w:name="_9kMH2J6ZWu59978EeLu973qpTD01"/>
      <w:r w:rsidRPr="00690807">
        <w:t>Personal Data</w:t>
      </w:r>
      <w:bookmarkEnd w:id="33"/>
      <w:r w:rsidRPr="00690807">
        <w:t xml:space="preserve"> is no longer necessary for the Agreed Purposes;</w:t>
      </w:r>
    </w:p>
    <w:p w14:paraId="75DF329E" w14:textId="77777777" w:rsidR="00FB5C58" w:rsidRPr="00690807" w:rsidRDefault="00FB5C58" w:rsidP="00FB5C58">
      <w:pPr>
        <w:pStyle w:val="Heading3"/>
        <w:numPr>
          <w:ilvl w:val="2"/>
          <w:numId w:val="4"/>
        </w:numPr>
        <w:tabs>
          <w:tab w:val="clear" w:pos="1985"/>
          <w:tab w:val="left" w:pos="1560"/>
        </w:tabs>
        <w:ind w:left="1560" w:hanging="851"/>
      </w:pPr>
      <w:r w:rsidRPr="00690807">
        <w:t xml:space="preserve">provide such assistance as is reasonably necessary to enable the other party to comply with any request made by a </w:t>
      </w:r>
      <w:bookmarkStart w:id="34" w:name="_9kMLK5YVt48867CQ4rsShxnrl1"/>
      <w:r w:rsidRPr="00690807">
        <w:t>Data Subject</w:t>
      </w:r>
      <w:bookmarkEnd w:id="34"/>
      <w:r w:rsidRPr="00690807">
        <w:t xml:space="preserve"> to exercise their rights under the Data Protection Legislation in respect of shared </w:t>
      </w:r>
      <w:bookmarkStart w:id="35" w:name="_9kMH3K6ZWu59978EeLu973qpTD01"/>
      <w:r w:rsidRPr="00690807">
        <w:t>Personal Data</w:t>
      </w:r>
      <w:bookmarkEnd w:id="35"/>
      <w:r w:rsidRPr="00690807">
        <w:t>;</w:t>
      </w:r>
    </w:p>
    <w:p w14:paraId="0EA5CE76" w14:textId="77777777" w:rsidR="00FB5C58" w:rsidRPr="00690807" w:rsidRDefault="00FB5C58" w:rsidP="00FB5C58">
      <w:pPr>
        <w:pStyle w:val="Heading3"/>
        <w:numPr>
          <w:ilvl w:val="2"/>
          <w:numId w:val="4"/>
        </w:numPr>
        <w:tabs>
          <w:tab w:val="clear" w:pos="1985"/>
          <w:tab w:val="left" w:pos="1560"/>
        </w:tabs>
        <w:ind w:left="1560" w:hanging="851"/>
      </w:pPr>
      <w:r w:rsidRPr="00690807">
        <w:t xml:space="preserve">erase all </w:t>
      </w:r>
      <w:bookmarkStart w:id="36" w:name="_9kMH4L6ZWu59978EeLu973qpTD01"/>
      <w:r w:rsidRPr="00690807">
        <w:t>Personal Data</w:t>
      </w:r>
      <w:bookmarkEnd w:id="36"/>
      <w:r w:rsidRPr="00690807">
        <w:t xml:space="preserve"> relating to a </w:t>
      </w:r>
      <w:bookmarkStart w:id="37" w:name="_9kMML5YVt48867CQ4rsShxnrl1"/>
      <w:r w:rsidRPr="00690807">
        <w:t>Data Subject</w:t>
      </w:r>
      <w:bookmarkEnd w:id="37"/>
      <w:r w:rsidRPr="00690807">
        <w:t xml:space="preserve"> who makes such a request in accordance with the Data Protection Legislation unless the </w:t>
      </w:r>
      <w:bookmarkStart w:id="38" w:name="_9kMJI5YVt48867GgX3pgxC3zy"/>
      <w:r w:rsidRPr="00690807">
        <w:t>Processing</w:t>
      </w:r>
      <w:bookmarkEnd w:id="38"/>
      <w:r w:rsidRPr="00690807">
        <w:t xml:space="preserve"> of the </w:t>
      </w:r>
      <w:bookmarkStart w:id="39" w:name="_9kMH5M6ZWu59978EeLu973qpTD01"/>
      <w:r w:rsidRPr="00690807">
        <w:t>Personal Data</w:t>
      </w:r>
      <w:bookmarkEnd w:id="39"/>
      <w:r w:rsidRPr="00690807">
        <w:t xml:space="preserve"> is necessary pursuant to the Data Protection Legislation;</w:t>
      </w:r>
    </w:p>
    <w:p w14:paraId="09EE5079" w14:textId="77777777" w:rsidR="00FB5C58" w:rsidRPr="00690807" w:rsidRDefault="00FB5C58" w:rsidP="00FB5C58">
      <w:pPr>
        <w:pStyle w:val="Heading3"/>
        <w:numPr>
          <w:ilvl w:val="2"/>
          <w:numId w:val="4"/>
        </w:numPr>
        <w:tabs>
          <w:tab w:val="clear" w:pos="1985"/>
          <w:tab w:val="left" w:pos="1560"/>
        </w:tabs>
        <w:ind w:left="1560" w:hanging="851"/>
      </w:pPr>
      <w:r w:rsidRPr="00690807">
        <w:lastRenderedPageBreak/>
        <w:t xml:space="preserve">only provide the shared </w:t>
      </w:r>
      <w:bookmarkStart w:id="40" w:name="_9kMH6N6ZWu59978EeLu973qpTD01"/>
      <w:r w:rsidRPr="00690807">
        <w:t>Personal Data</w:t>
      </w:r>
      <w:bookmarkEnd w:id="40"/>
      <w:r w:rsidRPr="00690807">
        <w:t xml:space="preserve"> to the other party by using secure methods and ensure that it has in place appropriate technical and organisational security measures in accordance with the Data Protection Legislation;</w:t>
      </w:r>
    </w:p>
    <w:p w14:paraId="1691F000" w14:textId="77777777" w:rsidR="00FB5C58" w:rsidRPr="00690807" w:rsidRDefault="00FB5C58" w:rsidP="00FB5C58">
      <w:pPr>
        <w:pStyle w:val="Heading3"/>
        <w:numPr>
          <w:ilvl w:val="2"/>
          <w:numId w:val="4"/>
        </w:numPr>
        <w:tabs>
          <w:tab w:val="clear" w:pos="1985"/>
          <w:tab w:val="left" w:pos="1560"/>
        </w:tabs>
        <w:ind w:left="1560" w:hanging="851"/>
      </w:pPr>
      <w:r w:rsidRPr="00690807">
        <w:t xml:space="preserve">not disclose or transfer the shared </w:t>
      </w:r>
      <w:bookmarkStart w:id="41" w:name="_9kMH7O6ZWu59978EeLu973qpTD01"/>
      <w:r w:rsidRPr="00690807">
        <w:t>Personal Data</w:t>
      </w:r>
      <w:bookmarkEnd w:id="41"/>
      <w:r w:rsidRPr="00690807">
        <w:t xml:space="preserve"> received from the other party to any third party except where written permission has been obtained from the other party and where such permission is granted, ensure that all permitted recipients are subject to written contractual obligations concerning the shared </w:t>
      </w:r>
      <w:bookmarkStart w:id="42" w:name="_9kMH8P6ZWu59978EeLu973qpTD01"/>
      <w:r w:rsidRPr="00690807">
        <w:t>Personal Data</w:t>
      </w:r>
      <w:bookmarkEnd w:id="42"/>
      <w:r w:rsidRPr="00690807">
        <w:t xml:space="preserve"> (including obligations of confidentiality) which are no less onerous than those imposed by this agreement;</w:t>
      </w:r>
    </w:p>
    <w:p w14:paraId="77B0F2C2" w14:textId="77777777" w:rsidR="00FB5C58" w:rsidRPr="00690807" w:rsidRDefault="00FB5C58" w:rsidP="00FB5C58">
      <w:pPr>
        <w:pStyle w:val="Heading3"/>
        <w:numPr>
          <w:ilvl w:val="2"/>
          <w:numId w:val="4"/>
        </w:numPr>
        <w:tabs>
          <w:tab w:val="clear" w:pos="1985"/>
          <w:tab w:val="left" w:pos="1560"/>
        </w:tabs>
        <w:ind w:left="1560" w:hanging="851"/>
      </w:pPr>
      <w:r w:rsidRPr="00690807">
        <w:t xml:space="preserve">not disclose or transfer the shared </w:t>
      </w:r>
      <w:bookmarkStart w:id="43" w:name="_9kMI0G6ZWu59978EeLu973qpTD01"/>
      <w:r w:rsidRPr="00690807">
        <w:t>Personal Data</w:t>
      </w:r>
      <w:bookmarkEnd w:id="43"/>
      <w:r w:rsidRPr="00690807">
        <w:t xml:space="preserve"> received from the other party outside the European Economic Area except where written permission has been obtained from the other party and where the transfer complies with </w:t>
      </w:r>
      <w:bookmarkStart w:id="44" w:name="_9kR3WTr2CC479K8dm6wvn"/>
      <w:r w:rsidRPr="00690807">
        <w:t>Chapter V</w:t>
      </w:r>
      <w:bookmarkEnd w:id="44"/>
      <w:r w:rsidRPr="00690807">
        <w:t xml:space="preserve"> of GDPR;</w:t>
      </w:r>
    </w:p>
    <w:p w14:paraId="5A5DF69C" w14:textId="77777777" w:rsidR="00FB5C58" w:rsidRPr="00690807" w:rsidRDefault="00FB5C58" w:rsidP="00FB5C58">
      <w:pPr>
        <w:pStyle w:val="Heading3"/>
        <w:numPr>
          <w:ilvl w:val="2"/>
          <w:numId w:val="4"/>
        </w:numPr>
        <w:tabs>
          <w:tab w:val="clear" w:pos="1985"/>
          <w:tab w:val="left" w:pos="1560"/>
        </w:tabs>
        <w:ind w:left="1560" w:hanging="851"/>
      </w:pPr>
      <w:r w:rsidRPr="00690807">
        <w:t xml:space="preserve">ensure that its staff members are appropriately trained to handle and process the shared </w:t>
      </w:r>
      <w:bookmarkStart w:id="45" w:name="_9kMI1H6ZWu59978EeLu973qpTD01"/>
      <w:r w:rsidRPr="00690807">
        <w:t>Personal Data</w:t>
      </w:r>
      <w:bookmarkEnd w:id="45"/>
      <w:r w:rsidRPr="00690807">
        <w:t xml:space="preserve"> in accordance the Data Protection Legislation;</w:t>
      </w:r>
    </w:p>
    <w:p w14:paraId="61CA9B82" w14:textId="77777777" w:rsidR="00FB5C58" w:rsidRPr="00690807" w:rsidRDefault="00FB5C58" w:rsidP="00FB5C58">
      <w:pPr>
        <w:pStyle w:val="Heading3"/>
        <w:numPr>
          <w:ilvl w:val="2"/>
          <w:numId w:val="4"/>
        </w:numPr>
        <w:tabs>
          <w:tab w:val="clear" w:pos="1985"/>
          <w:tab w:val="left" w:pos="1560"/>
        </w:tabs>
        <w:ind w:left="1560" w:hanging="851"/>
      </w:pPr>
      <w:r w:rsidRPr="00690807">
        <w:t xml:space="preserve">notify the other party as soon as possible, and in any </w:t>
      </w:r>
      <w:bookmarkStart w:id="46" w:name="_9kMJI5YVt46668ESQxq6"/>
      <w:r w:rsidRPr="00690807">
        <w:t>event</w:t>
      </w:r>
      <w:bookmarkEnd w:id="46"/>
      <w:r w:rsidRPr="00690807">
        <w:t xml:space="preserve"> within 1 Business Day of any data security breach (being a breach of security leading to the accidental or unlawful destruction, loss, alteration, unauthorised disclosure of, or access to personal data) concerning the shared </w:t>
      </w:r>
      <w:bookmarkStart w:id="47" w:name="_9kMI2I6ZWu59978EeLu973qpTD01"/>
      <w:r w:rsidRPr="00690807">
        <w:t>Personal Data</w:t>
      </w:r>
      <w:bookmarkEnd w:id="47"/>
      <w:r w:rsidRPr="00690807">
        <w:t xml:space="preserve"> and provide such assistance as is reasonably necessary to the other party to facilitate the handling of any data security breach in an expeditious and compliant manner;</w:t>
      </w:r>
    </w:p>
    <w:p w14:paraId="34BCA617" w14:textId="77777777" w:rsidR="00FB5C58" w:rsidRPr="00690807" w:rsidRDefault="00FB5C58" w:rsidP="00FB5C58">
      <w:pPr>
        <w:pStyle w:val="Heading3"/>
        <w:numPr>
          <w:ilvl w:val="2"/>
          <w:numId w:val="4"/>
        </w:numPr>
        <w:tabs>
          <w:tab w:val="clear" w:pos="1985"/>
          <w:tab w:val="left" w:pos="1560"/>
        </w:tabs>
        <w:ind w:left="1560" w:hanging="851"/>
      </w:pPr>
      <w:r w:rsidRPr="00690807">
        <w:t xml:space="preserve">in the </w:t>
      </w:r>
      <w:bookmarkStart w:id="48" w:name="_9kMKJ5YVt46668ESQxq6"/>
      <w:r w:rsidRPr="00690807">
        <w:t>event</w:t>
      </w:r>
      <w:bookmarkEnd w:id="48"/>
      <w:r w:rsidRPr="00690807">
        <w:t xml:space="preserve"> of a dispute or claim brought by a </w:t>
      </w:r>
      <w:bookmarkStart w:id="49" w:name="_9kMNM5YVt48867CQ4rsShxnrl1"/>
      <w:r w:rsidRPr="00690807">
        <w:t>Data Subject</w:t>
      </w:r>
      <w:bookmarkEnd w:id="49"/>
      <w:r w:rsidRPr="00690807">
        <w:t xml:space="preserve"> or the Information Commissioner’s Office concerning the processing of the shared </w:t>
      </w:r>
      <w:bookmarkStart w:id="50" w:name="_9kMI3J6ZWu59978EeLu973qpTD01"/>
      <w:r w:rsidRPr="00690807">
        <w:t>Personal Data</w:t>
      </w:r>
      <w:bookmarkEnd w:id="50"/>
      <w:r w:rsidRPr="00690807">
        <w:t xml:space="preserve"> against either or both parties, will inform the other party about any such disputes or claims, and will cooperate with a view to settling them amicably in a timely fashion;</w:t>
      </w:r>
    </w:p>
    <w:p w14:paraId="443C8E5B" w14:textId="77777777" w:rsidR="00FB5C58" w:rsidRPr="00690807" w:rsidRDefault="00FB5C58" w:rsidP="00FB5C58">
      <w:pPr>
        <w:pStyle w:val="Heading2"/>
        <w:tabs>
          <w:tab w:val="clear" w:pos="1077"/>
          <w:tab w:val="num" w:pos="709"/>
        </w:tabs>
        <w:spacing w:after="0" w:line="240" w:lineRule="auto"/>
        <w:ind w:left="709" w:hanging="709"/>
        <w:rPr>
          <w:rFonts w:cs="Arial"/>
          <w:color w:val="auto"/>
          <w:sz w:val="20"/>
        </w:rPr>
      </w:pPr>
      <w:r>
        <w:rPr>
          <w:rFonts w:cs="Arial"/>
          <w:sz w:val="20"/>
        </w:rPr>
        <w:t xml:space="preserve">Each </w:t>
      </w:r>
      <w:bookmarkStart w:id="51" w:name="_9kR3WTr26646FeEn7F"/>
      <w:r>
        <w:rPr>
          <w:rFonts w:cs="Arial"/>
          <w:sz w:val="20"/>
        </w:rPr>
        <w:t>p</w:t>
      </w:r>
      <w:r w:rsidRPr="00690807">
        <w:rPr>
          <w:rFonts w:cs="Arial"/>
          <w:sz w:val="20"/>
        </w:rPr>
        <w:t>arty</w:t>
      </w:r>
      <w:bookmarkEnd w:id="51"/>
      <w:r w:rsidRPr="00690807">
        <w:rPr>
          <w:rFonts w:cs="Arial"/>
          <w:sz w:val="20"/>
        </w:rPr>
        <w:t xml:space="preserve"> when acting as a data discloser reserves the right to terminate this agreement with immediate effect if the other party does not process the shared </w:t>
      </w:r>
      <w:bookmarkStart w:id="52" w:name="_9kMI4K6ZWu59978EeLu973qpTD01"/>
      <w:r w:rsidRPr="00690807">
        <w:rPr>
          <w:rFonts w:cs="Arial"/>
          <w:sz w:val="20"/>
        </w:rPr>
        <w:t>Personal Data</w:t>
      </w:r>
      <w:bookmarkEnd w:id="52"/>
      <w:r w:rsidRPr="00690807">
        <w:rPr>
          <w:rFonts w:cs="Arial"/>
          <w:sz w:val="20"/>
        </w:rPr>
        <w:t xml:space="preserve"> in accordance with this agreement or breaches any other provision of this agreement, including (but not limited to) not being fully compliant with the Data Protection Legislation, in relation to the subject matter of this agreement.</w:t>
      </w:r>
    </w:p>
    <w:p w14:paraId="622E1645" w14:textId="77777777" w:rsidR="00FB5C58" w:rsidRPr="00690807" w:rsidRDefault="00FB5C58" w:rsidP="00FB5C58">
      <w:pPr>
        <w:pStyle w:val="Heading2"/>
        <w:tabs>
          <w:tab w:val="clear" w:pos="1077"/>
          <w:tab w:val="num" w:pos="709"/>
        </w:tabs>
        <w:spacing w:after="0" w:line="240" w:lineRule="auto"/>
        <w:ind w:left="709" w:hanging="709"/>
        <w:rPr>
          <w:rFonts w:cs="Arial"/>
          <w:color w:val="auto"/>
          <w:sz w:val="20"/>
        </w:rPr>
      </w:pPr>
      <w:bookmarkStart w:id="53" w:name="_9kMHG5YVt48868HgGp9H"/>
      <w:r>
        <w:rPr>
          <w:rFonts w:cs="Arial"/>
          <w:sz w:val="20"/>
        </w:rPr>
        <w:t>Each p</w:t>
      </w:r>
      <w:r w:rsidRPr="00690807">
        <w:rPr>
          <w:rFonts w:cs="Arial"/>
          <w:sz w:val="20"/>
        </w:rPr>
        <w:t>arty</w:t>
      </w:r>
      <w:bookmarkEnd w:id="53"/>
      <w:r w:rsidRPr="00690807">
        <w:rPr>
          <w:rFonts w:cs="Arial"/>
          <w:sz w:val="20"/>
        </w:rPr>
        <w:t xml:space="preserve"> undertakes to indemnify each other and to hold each other harmless from any cost, charge, damages, expense or loss which they cause each other as a result of the breach of any of the provisions of this clause </w:t>
      </w:r>
      <w:r w:rsidRPr="00690807">
        <w:rPr>
          <w:rFonts w:cs="Arial"/>
          <w:sz w:val="20"/>
        </w:rPr>
        <w:fldChar w:fldCharType="begin"/>
      </w:r>
      <w:r w:rsidRPr="00690807">
        <w:rPr>
          <w:rFonts w:cs="Arial"/>
          <w:sz w:val="20"/>
        </w:rPr>
        <w:instrText xml:space="preserve"> REF _Ref520993947 \r \h  \* MERGEFORMAT </w:instrText>
      </w:r>
      <w:r w:rsidRPr="00690807">
        <w:rPr>
          <w:rFonts w:cs="Arial"/>
          <w:sz w:val="20"/>
        </w:rPr>
      </w:r>
      <w:r w:rsidRPr="00690807">
        <w:rPr>
          <w:rFonts w:cs="Arial"/>
          <w:sz w:val="20"/>
        </w:rPr>
        <w:fldChar w:fldCharType="separate"/>
      </w:r>
      <w:bookmarkStart w:id="54" w:name="_9kMIH5YVt4BB6ABACP6tuRd9C3n3A6C"/>
      <w:r>
        <w:rPr>
          <w:rFonts w:cs="Arial"/>
          <w:sz w:val="20"/>
        </w:rPr>
        <w:t>11</w:t>
      </w:r>
      <w:bookmarkEnd w:id="54"/>
      <w:r w:rsidRPr="00690807">
        <w:rPr>
          <w:rFonts w:cs="Arial"/>
          <w:sz w:val="20"/>
        </w:rPr>
        <w:fldChar w:fldCharType="end"/>
      </w:r>
      <w:r w:rsidRPr="00690807">
        <w:rPr>
          <w:rFonts w:cs="Arial"/>
          <w:sz w:val="20"/>
        </w:rPr>
        <w:t xml:space="preserve">, except to the extent that any such liability is excluded under clause </w:t>
      </w:r>
      <w:r w:rsidRPr="00690807">
        <w:rPr>
          <w:rFonts w:cs="Arial"/>
          <w:sz w:val="20"/>
        </w:rPr>
        <w:fldChar w:fldCharType="begin"/>
      </w:r>
      <w:r w:rsidRPr="00690807">
        <w:rPr>
          <w:rFonts w:cs="Arial"/>
          <w:sz w:val="20"/>
        </w:rPr>
        <w:instrText xml:space="preserve"> REF a322425 \r \h  \* MERGEFORMAT </w:instrText>
      </w:r>
      <w:r w:rsidRPr="00690807">
        <w:rPr>
          <w:rFonts w:cs="Arial"/>
          <w:sz w:val="20"/>
        </w:rPr>
      </w:r>
      <w:r w:rsidRPr="00690807">
        <w:rPr>
          <w:rFonts w:cs="Arial"/>
          <w:sz w:val="20"/>
        </w:rPr>
        <w:fldChar w:fldCharType="separate"/>
      </w:r>
      <w:bookmarkStart w:id="55" w:name="_9kMHG5YVt4BB6ACJeLtu2vw51781z3tnw78HY"/>
      <w:r>
        <w:rPr>
          <w:rFonts w:cs="Arial"/>
          <w:sz w:val="20"/>
        </w:rPr>
        <w:t>9</w:t>
      </w:r>
      <w:bookmarkEnd w:id="55"/>
      <w:r w:rsidRPr="00690807">
        <w:rPr>
          <w:rFonts w:cs="Arial"/>
          <w:sz w:val="20"/>
        </w:rPr>
        <w:fldChar w:fldCharType="end"/>
      </w:r>
      <w:r w:rsidRPr="00690807">
        <w:rPr>
          <w:rFonts w:cs="Arial"/>
          <w:sz w:val="20"/>
        </w:rPr>
        <w:t>.</w:t>
      </w:r>
    </w:p>
    <w:p w14:paraId="1D192D69" w14:textId="77777777" w:rsidR="00FB5C58" w:rsidRPr="00690807" w:rsidRDefault="00FB5C58" w:rsidP="00FB5C58">
      <w:pPr>
        <w:pStyle w:val="Heading2"/>
        <w:tabs>
          <w:tab w:val="clear" w:pos="1077"/>
          <w:tab w:val="num" w:pos="709"/>
          <w:tab w:val="left" w:pos="1134"/>
        </w:tabs>
        <w:spacing w:after="0" w:line="240" w:lineRule="auto"/>
        <w:ind w:left="709" w:hanging="709"/>
        <w:rPr>
          <w:rFonts w:cs="Arial"/>
          <w:color w:val="auto"/>
          <w:sz w:val="20"/>
        </w:rPr>
      </w:pPr>
      <w:r w:rsidRPr="00690807">
        <w:rPr>
          <w:rFonts w:cs="Arial"/>
          <w:color w:val="auto"/>
          <w:sz w:val="20"/>
        </w:rPr>
        <w:t xml:space="preserve">In the </w:t>
      </w:r>
      <w:bookmarkStart w:id="56" w:name="_9kMLK5YVt46668ESQxq6"/>
      <w:r w:rsidRPr="00690807">
        <w:rPr>
          <w:rFonts w:cs="Arial"/>
          <w:color w:val="auto"/>
          <w:sz w:val="20"/>
        </w:rPr>
        <w:t>event</w:t>
      </w:r>
      <w:bookmarkEnd w:id="56"/>
      <w:r w:rsidRPr="00690807">
        <w:rPr>
          <w:rFonts w:cs="Arial"/>
          <w:color w:val="auto"/>
          <w:sz w:val="20"/>
        </w:rPr>
        <w:t xml:space="preserve"> that the parties consider it necessary for either party to </w:t>
      </w:r>
      <w:bookmarkStart w:id="57" w:name="_9kR3WTr266467WV1nevAiPyDB7ut"/>
      <w:r w:rsidRPr="00690807">
        <w:rPr>
          <w:rFonts w:cs="Arial"/>
          <w:color w:val="auto"/>
          <w:sz w:val="20"/>
        </w:rPr>
        <w:t>Process Personal</w:t>
      </w:r>
      <w:bookmarkEnd w:id="57"/>
      <w:r w:rsidRPr="00690807">
        <w:rPr>
          <w:rFonts w:cs="Arial"/>
          <w:color w:val="auto"/>
          <w:sz w:val="20"/>
        </w:rPr>
        <w:t xml:space="preserve"> data on behalf of the other, such that the parties’ relationship is that of </w:t>
      </w:r>
      <w:bookmarkStart w:id="58" w:name="_9kR3WTr266468L2pqAJ17C831v2zw0RJ67eqM8z"/>
      <w:r w:rsidRPr="00690807">
        <w:rPr>
          <w:rFonts w:cs="Arial"/>
          <w:color w:val="auto"/>
          <w:sz w:val="20"/>
        </w:rPr>
        <w:t>Data Controller and Data Processor</w:t>
      </w:r>
      <w:bookmarkEnd w:id="58"/>
      <w:r w:rsidRPr="00690807">
        <w:rPr>
          <w:rFonts w:cs="Arial"/>
          <w:color w:val="auto"/>
          <w:sz w:val="20"/>
        </w:rPr>
        <w:t xml:space="preserve">, the parties shall enter into a data processing agreement which complies with the requirements of the Data Protection Legislation (and in particular </w:t>
      </w:r>
      <w:bookmarkStart w:id="59" w:name="_9kR3WTr2CC47AJG6yimp7P"/>
      <w:r w:rsidRPr="00690807">
        <w:rPr>
          <w:rFonts w:cs="Arial"/>
          <w:color w:val="auto"/>
          <w:sz w:val="20"/>
        </w:rPr>
        <w:t>Article 28</w:t>
      </w:r>
      <w:bookmarkEnd w:id="59"/>
      <w:r w:rsidRPr="00690807">
        <w:rPr>
          <w:rFonts w:cs="Arial"/>
          <w:color w:val="auto"/>
          <w:sz w:val="20"/>
        </w:rPr>
        <w:t xml:space="preserve"> GDPR).</w:t>
      </w:r>
    </w:p>
    <w:p w14:paraId="69EFCE8A" w14:textId="77777777" w:rsidR="00FB5C58" w:rsidRPr="00690807" w:rsidRDefault="00FB5C58" w:rsidP="00FB5C58">
      <w:pPr>
        <w:pStyle w:val="Heading2"/>
        <w:tabs>
          <w:tab w:val="clear" w:pos="1077"/>
          <w:tab w:val="num" w:pos="709"/>
          <w:tab w:val="left" w:pos="1134"/>
        </w:tabs>
        <w:spacing w:after="0" w:line="240" w:lineRule="auto"/>
        <w:ind w:left="709" w:hanging="709"/>
        <w:rPr>
          <w:rFonts w:cs="Arial"/>
          <w:color w:val="auto"/>
          <w:sz w:val="20"/>
        </w:rPr>
      </w:pPr>
      <w:r w:rsidRPr="00690807">
        <w:rPr>
          <w:rFonts w:cs="Arial"/>
          <w:color w:val="auto"/>
          <w:sz w:val="20"/>
        </w:rPr>
        <w:t xml:space="preserve">This clause </w:t>
      </w:r>
      <w:r w:rsidRPr="00690807">
        <w:rPr>
          <w:rFonts w:cs="Arial"/>
          <w:color w:val="auto"/>
          <w:sz w:val="20"/>
        </w:rPr>
        <w:fldChar w:fldCharType="begin"/>
      </w:r>
      <w:r w:rsidRPr="00690807">
        <w:rPr>
          <w:rFonts w:cs="Arial"/>
          <w:color w:val="auto"/>
          <w:sz w:val="20"/>
        </w:rPr>
        <w:instrText xml:space="preserve"> REF _Ref521310479 \r \h  \* MERGEFORMAT </w:instrText>
      </w:r>
      <w:r w:rsidRPr="00690807">
        <w:rPr>
          <w:rFonts w:cs="Arial"/>
          <w:color w:val="auto"/>
          <w:sz w:val="20"/>
        </w:rPr>
      </w:r>
      <w:r w:rsidRPr="00690807">
        <w:rPr>
          <w:rFonts w:cs="Arial"/>
          <w:color w:val="auto"/>
          <w:sz w:val="20"/>
        </w:rPr>
        <w:fldChar w:fldCharType="separate"/>
      </w:r>
      <w:bookmarkStart w:id="60" w:name="_9kMJI5YVt4BB6ABACP6tuRd9C3n3A6C"/>
      <w:r>
        <w:rPr>
          <w:rFonts w:cs="Arial"/>
          <w:color w:val="auto"/>
          <w:sz w:val="20"/>
        </w:rPr>
        <w:t>11</w:t>
      </w:r>
      <w:bookmarkEnd w:id="60"/>
      <w:r w:rsidRPr="00690807">
        <w:rPr>
          <w:rFonts w:cs="Arial"/>
          <w:color w:val="auto"/>
          <w:sz w:val="20"/>
        </w:rPr>
        <w:fldChar w:fldCharType="end"/>
      </w:r>
      <w:r w:rsidRPr="00690807">
        <w:rPr>
          <w:rFonts w:cs="Arial"/>
          <w:color w:val="auto"/>
          <w:sz w:val="20"/>
        </w:rPr>
        <w:t xml:space="preserve"> is in addition to and does not relieve, remove or replace a party’s obligations under the Data Protection Legislation.</w:t>
      </w:r>
    </w:p>
    <w:p w14:paraId="532FC813" w14:textId="77777777" w:rsidR="00B23172" w:rsidRDefault="00B23172"/>
    <w:sectPr w:rsidR="00B23172" w:rsidSect="00223752">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33A"/>
    <w:multiLevelType w:val="multilevel"/>
    <w:tmpl w:val="B57039BA"/>
    <w:lvl w:ilvl="0">
      <w:start w:val="11"/>
      <w:numFmt w:val="decimal"/>
      <w:lvlText w:val="%1"/>
      <w:lvlJc w:val="left"/>
      <w:pPr>
        <w:ind w:left="600" w:hanging="600"/>
      </w:pPr>
      <w:rPr>
        <w:rFonts w:hint="default"/>
      </w:rPr>
    </w:lvl>
    <w:lvl w:ilvl="1">
      <w:start w:val="5"/>
      <w:numFmt w:val="decimal"/>
      <w:lvlText w:val="%1.%2"/>
      <w:lvlJc w:val="left"/>
      <w:pPr>
        <w:ind w:left="1138" w:hanging="60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1" w15:restartNumberingAfterBreak="0">
    <w:nsid w:val="02D54901"/>
    <w:multiLevelType w:val="multilevel"/>
    <w:tmpl w:val="65304AB4"/>
    <w:lvl w:ilvl="0">
      <w:start w:val="5"/>
      <w:numFmt w:val="decimal"/>
      <w:lvlText w:val="%1"/>
      <w:lvlJc w:val="left"/>
      <w:pPr>
        <w:ind w:left="480" w:hanging="480"/>
      </w:pPr>
      <w:rPr>
        <w:rFonts w:hint="default"/>
      </w:rPr>
    </w:lvl>
    <w:lvl w:ilvl="1">
      <w:start w:val="1"/>
      <w:numFmt w:val="decimal"/>
      <w:lvlText w:val="%1.%2"/>
      <w:lvlJc w:val="left"/>
      <w:pPr>
        <w:ind w:left="1018" w:hanging="480"/>
      </w:pPr>
      <w:rPr>
        <w:rFonts w:hint="default"/>
      </w:rPr>
    </w:lvl>
    <w:lvl w:ilvl="2">
      <w:start w:val="1"/>
      <w:numFmt w:val="decimal"/>
      <w:pStyle w:val="Heading3"/>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2" w15:restartNumberingAfterBreak="0">
    <w:nsid w:val="737E6AF8"/>
    <w:multiLevelType w:val="multilevel"/>
    <w:tmpl w:val="085AC470"/>
    <w:lvl w:ilvl="0">
      <w:start w:val="11"/>
      <w:numFmt w:val="decimal"/>
      <w:lvlText w:val="%1"/>
      <w:lvlJc w:val="left"/>
      <w:pPr>
        <w:ind w:left="600" w:hanging="600"/>
      </w:pPr>
      <w:rPr>
        <w:rFonts w:hint="default"/>
      </w:rPr>
    </w:lvl>
    <w:lvl w:ilvl="1">
      <w:start w:val="3"/>
      <w:numFmt w:val="decimal"/>
      <w:lvlText w:val="%1.%2"/>
      <w:lvlJc w:val="left"/>
      <w:pPr>
        <w:ind w:left="1138" w:hanging="60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3" w15:restartNumberingAfterBreak="0">
    <w:nsid w:val="77D61255"/>
    <w:multiLevelType w:val="multilevel"/>
    <w:tmpl w:val="B832E9BC"/>
    <w:lvl w:ilvl="0">
      <w:start w:val="1"/>
      <w:numFmt w:val="decimal"/>
      <w:pStyle w:val="Heading1"/>
      <w:lvlText w:val="%1."/>
      <w:lvlJc w:val="left"/>
      <w:pPr>
        <w:tabs>
          <w:tab w:val="num" w:pos="1077"/>
        </w:tabs>
        <w:ind w:left="1077" w:hanging="1077"/>
      </w:pPr>
      <w:rPr>
        <w:rFonts w:ascii="Arial Bold" w:hAnsi="Arial Bold" w:hint="default"/>
        <w:b/>
        <w:i w:val="0"/>
        <w:caps/>
        <w:sz w:val="20"/>
        <w:szCs w:val="20"/>
      </w:rPr>
    </w:lvl>
    <w:lvl w:ilvl="1">
      <w:start w:val="1"/>
      <w:numFmt w:val="decimal"/>
      <w:pStyle w:val="Heading2"/>
      <w:lvlText w:val="%1.%2"/>
      <w:lvlJc w:val="left"/>
      <w:pPr>
        <w:tabs>
          <w:tab w:val="num" w:pos="1077"/>
        </w:tabs>
        <w:ind w:left="1077" w:hanging="1077"/>
      </w:pPr>
      <w:rPr>
        <w:rFonts w:ascii="Arial" w:hAnsi="Arial" w:hint="default"/>
        <w:b w:val="0"/>
        <w:i w:val="0"/>
        <w:caps w:val="0"/>
        <w:sz w:val="20"/>
        <w:szCs w:val="20"/>
      </w:rPr>
    </w:lvl>
    <w:lvl w:ilvl="2">
      <w:start w:val="1"/>
      <w:numFmt w:val="lowerLetter"/>
      <w:lvlText w:val="(%3)"/>
      <w:lvlJc w:val="left"/>
      <w:pPr>
        <w:tabs>
          <w:tab w:val="num" w:pos="1077"/>
        </w:tabs>
        <w:ind w:left="1077" w:hanging="1077"/>
      </w:pPr>
      <w:rPr>
        <w:rFonts w:ascii="Arial" w:eastAsia="Times New Roman" w:hAnsi="Arial" w:cs="Times New Roman"/>
        <w:b w:val="0"/>
        <w:i w:val="0"/>
        <w:sz w:val="22"/>
        <w:szCs w:val="22"/>
      </w:rPr>
    </w:lvl>
    <w:lvl w:ilvl="3">
      <w:start w:val="1"/>
      <w:numFmt w:val="decimal"/>
      <w:pStyle w:val="Heading4"/>
      <w:lvlText w:val="%1.%2.%3.%4"/>
      <w:lvlJc w:val="left"/>
      <w:pPr>
        <w:tabs>
          <w:tab w:val="num" w:pos="1077"/>
        </w:tabs>
        <w:ind w:left="1077" w:hanging="1077"/>
      </w:pPr>
      <w:rPr>
        <w:rFonts w:ascii="Arial" w:hAnsi="Arial" w:hint="default"/>
        <w:b w:val="0"/>
        <w:i w:val="0"/>
        <w:sz w:val="22"/>
        <w:szCs w:val="22"/>
      </w:rPr>
    </w:lvl>
    <w:lvl w:ilvl="4">
      <w:start w:val="1"/>
      <w:numFmt w:val="lowerLetter"/>
      <w:pStyle w:val="Heading5"/>
      <w:lvlText w:val="(%5)"/>
      <w:lvlJc w:val="left"/>
      <w:pPr>
        <w:tabs>
          <w:tab w:val="num" w:pos="2155"/>
        </w:tabs>
        <w:ind w:left="2155" w:hanging="1078"/>
      </w:pPr>
      <w:rPr>
        <w:rFonts w:ascii="Arial" w:hAnsi="Arial" w:hint="default"/>
        <w:b w:val="0"/>
        <w:i w:val="0"/>
        <w:sz w:val="22"/>
        <w:szCs w:val="22"/>
      </w:rPr>
    </w:lvl>
    <w:lvl w:ilvl="5">
      <w:start w:val="1"/>
      <w:numFmt w:val="decimal"/>
      <w:lvlText w:val="%6."/>
      <w:lvlJc w:val="left"/>
      <w:pPr>
        <w:tabs>
          <w:tab w:val="num" w:pos="2155"/>
        </w:tabs>
        <w:ind w:left="2155" w:hanging="1078"/>
      </w:pPr>
      <w:rPr>
        <w:rFonts w:ascii="Arial" w:hAnsi="Arial" w:hint="default"/>
        <w:b w:val="0"/>
        <w:i w:val="0"/>
        <w:sz w:val="22"/>
        <w:szCs w:val="22"/>
      </w:rPr>
    </w:lvl>
    <w:lvl w:ilvl="6">
      <w:start w:val="1"/>
      <w:numFmt w:val="decimal"/>
      <w:lvlText w:val="%7."/>
      <w:lvlJc w:val="left"/>
      <w:pPr>
        <w:tabs>
          <w:tab w:val="num" w:pos="2155"/>
        </w:tabs>
        <w:ind w:left="2155" w:hanging="1078"/>
      </w:pPr>
      <w:rPr>
        <w:rFonts w:hint="default"/>
      </w:rPr>
    </w:lvl>
    <w:lvl w:ilvl="7">
      <w:start w:val="1"/>
      <w:numFmt w:val="decimal"/>
      <w:lvlText w:val="%8."/>
      <w:lvlJc w:val="left"/>
      <w:pPr>
        <w:tabs>
          <w:tab w:val="num" w:pos="2155"/>
        </w:tabs>
        <w:ind w:left="2155" w:hanging="1078"/>
      </w:pPr>
      <w:rPr>
        <w:rFonts w:ascii="Times New Roman" w:hAnsi="Times New Roman" w:hint="default"/>
        <w:b w:val="0"/>
        <w:i w:val="0"/>
        <w:sz w:val="22"/>
      </w:rPr>
    </w:lvl>
    <w:lvl w:ilvl="8">
      <w:start w:val="1"/>
      <w:numFmt w:val="decimal"/>
      <w:lvlText w:val="%9."/>
      <w:lvlJc w:val="left"/>
      <w:pPr>
        <w:tabs>
          <w:tab w:val="num" w:pos="2155"/>
        </w:tabs>
        <w:ind w:left="2155" w:hanging="1078"/>
      </w:pPr>
      <w:rPr>
        <w:rFonts w:ascii="Times New Roman" w:hAnsi="Times New Roman" w:hint="default"/>
        <w:b w:val="0"/>
        <w:i w:val="0"/>
        <w:sz w:val="22"/>
      </w:rPr>
    </w:lvl>
  </w:abstractNum>
  <w:num w:numId="1" w16cid:durableId="626157167">
    <w:abstractNumId w:val="3"/>
  </w:num>
  <w:num w:numId="2" w16cid:durableId="905066394">
    <w:abstractNumId w:val="1"/>
  </w:num>
  <w:num w:numId="3" w16cid:durableId="484586854">
    <w:abstractNumId w:val="2"/>
  </w:num>
  <w:num w:numId="4" w16cid:durableId="164076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58"/>
    <w:rsid w:val="00223752"/>
    <w:rsid w:val="003A0414"/>
    <w:rsid w:val="00AE2689"/>
    <w:rsid w:val="00B23172"/>
    <w:rsid w:val="00B62FBA"/>
    <w:rsid w:val="00CA0F7D"/>
    <w:rsid w:val="00DC5255"/>
    <w:rsid w:val="00DE09EF"/>
    <w:rsid w:val="00FB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2412"/>
  <w15:chartTrackingRefBased/>
  <w15:docId w15:val="{6D98B7E2-590D-4CB3-AFCB-E2F5E6DE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FB5C58"/>
    <w:pPr>
      <w:keepNext/>
      <w:numPr>
        <w:numId w:val="1"/>
      </w:numPr>
      <w:spacing w:after="240" w:line="360" w:lineRule="auto"/>
      <w:jc w:val="both"/>
      <w:outlineLvl w:val="0"/>
    </w:pPr>
    <w:rPr>
      <w:rFonts w:ascii="Arial Bold" w:eastAsia="Times New Roman" w:hAnsi="Arial Bold" w:cs="Times New Roman"/>
      <w:b/>
      <w:kern w:val="28"/>
      <w:u w:val="single"/>
    </w:rPr>
  </w:style>
  <w:style w:type="paragraph" w:styleId="Heading2">
    <w:name w:val="heading 2"/>
    <w:basedOn w:val="Normal"/>
    <w:link w:val="Heading2Char"/>
    <w:qFormat/>
    <w:rsid w:val="00FB5C58"/>
    <w:pPr>
      <w:numPr>
        <w:ilvl w:val="1"/>
        <w:numId w:val="1"/>
      </w:numPr>
      <w:spacing w:after="240" w:line="360" w:lineRule="auto"/>
      <w:jc w:val="both"/>
      <w:outlineLvl w:val="1"/>
    </w:pPr>
    <w:rPr>
      <w:rFonts w:ascii="Arial" w:eastAsia="Times New Roman" w:hAnsi="Arial" w:cs="Times New Roman"/>
      <w:color w:val="000000"/>
      <w:szCs w:val="20"/>
    </w:rPr>
  </w:style>
  <w:style w:type="paragraph" w:styleId="Heading3">
    <w:name w:val="heading 3"/>
    <w:basedOn w:val="Normal"/>
    <w:link w:val="Heading3Char"/>
    <w:qFormat/>
    <w:rsid w:val="00FB5C58"/>
    <w:pPr>
      <w:numPr>
        <w:ilvl w:val="2"/>
        <w:numId w:val="2"/>
      </w:numPr>
      <w:tabs>
        <w:tab w:val="left" w:pos="1985"/>
      </w:tabs>
      <w:spacing w:after="0" w:line="240" w:lineRule="auto"/>
      <w:jc w:val="both"/>
      <w:outlineLvl w:val="2"/>
    </w:pPr>
    <w:rPr>
      <w:rFonts w:ascii="Arial" w:eastAsia="Times New Roman" w:hAnsi="Arial" w:cs="Arial"/>
      <w:sz w:val="20"/>
      <w:szCs w:val="20"/>
    </w:rPr>
  </w:style>
  <w:style w:type="paragraph" w:styleId="Heading4">
    <w:name w:val="heading 4"/>
    <w:basedOn w:val="Normal"/>
    <w:link w:val="Heading4Char"/>
    <w:qFormat/>
    <w:rsid w:val="00FB5C58"/>
    <w:pPr>
      <w:numPr>
        <w:ilvl w:val="3"/>
        <w:numId w:val="1"/>
      </w:numPr>
      <w:tabs>
        <w:tab w:val="left" w:pos="2261"/>
      </w:tabs>
      <w:spacing w:after="240" w:line="360" w:lineRule="auto"/>
      <w:jc w:val="both"/>
      <w:outlineLvl w:val="3"/>
    </w:pPr>
    <w:rPr>
      <w:rFonts w:ascii="Arial" w:eastAsia="Times New Roman" w:hAnsi="Arial" w:cs="Times New Roman"/>
      <w:szCs w:val="20"/>
    </w:rPr>
  </w:style>
  <w:style w:type="paragraph" w:styleId="Heading5">
    <w:name w:val="heading 5"/>
    <w:basedOn w:val="Normal"/>
    <w:link w:val="Heading5Char"/>
    <w:qFormat/>
    <w:rsid w:val="00FB5C58"/>
    <w:pPr>
      <w:numPr>
        <w:ilvl w:val="4"/>
        <w:numId w:val="1"/>
      </w:numPr>
      <w:spacing w:after="240" w:line="360" w:lineRule="auto"/>
      <w:jc w:val="both"/>
      <w:outlineLvl w:val="4"/>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C58"/>
    <w:rPr>
      <w:rFonts w:ascii="Arial Bold" w:eastAsia="Times New Roman" w:hAnsi="Arial Bold" w:cs="Times New Roman"/>
      <w:b/>
      <w:kern w:val="28"/>
      <w:u w:val="single"/>
    </w:rPr>
  </w:style>
  <w:style w:type="character" w:customStyle="1" w:styleId="Heading2Char">
    <w:name w:val="Heading 2 Char"/>
    <w:basedOn w:val="DefaultParagraphFont"/>
    <w:link w:val="Heading2"/>
    <w:rsid w:val="00FB5C58"/>
    <w:rPr>
      <w:rFonts w:ascii="Arial" w:eastAsia="Times New Roman" w:hAnsi="Arial" w:cs="Times New Roman"/>
      <w:color w:val="000000"/>
      <w:szCs w:val="20"/>
    </w:rPr>
  </w:style>
  <w:style w:type="character" w:customStyle="1" w:styleId="Heading3Char">
    <w:name w:val="Heading 3 Char"/>
    <w:basedOn w:val="DefaultParagraphFont"/>
    <w:link w:val="Heading3"/>
    <w:rsid w:val="00FB5C58"/>
    <w:rPr>
      <w:rFonts w:ascii="Arial" w:eastAsia="Times New Roman" w:hAnsi="Arial" w:cs="Arial"/>
      <w:sz w:val="20"/>
      <w:szCs w:val="20"/>
    </w:rPr>
  </w:style>
  <w:style w:type="character" w:customStyle="1" w:styleId="Heading4Char">
    <w:name w:val="Heading 4 Char"/>
    <w:basedOn w:val="DefaultParagraphFont"/>
    <w:link w:val="Heading4"/>
    <w:rsid w:val="00FB5C58"/>
    <w:rPr>
      <w:rFonts w:ascii="Arial" w:eastAsia="Times New Roman" w:hAnsi="Arial" w:cs="Times New Roman"/>
      <w:szCs w:val="20"/>
    </w:rPr>
  </w:style>
  <w:style w:type="character" w:customStyle="1" w:styleId="Heading5Char">
    <w:name w:val="Heading 5 Char"/>
    <w:basedOn w:val="DefaultParagraphFont"/>
    <w:link w:val="Heading5"/>
    <w:rsid w:val="00FB5C58"/>
    <w:rPr>
      <w:rFonts w:ascii="Arial" w:eastAsia="Times New Roman" w:hAnsi="Arial" w:cs="Times New Roman"/>
      <w:szCs w:val="20"/>
    </w:rPr>
  </w:style>
  <w:style w:type="character" w:styleId="Hyperlink">
    <w:name w:val="Hyperlink"/>
    <w:basedOn w:val="DefaultParagraphFont"/>
    <w:uiPriority w:val="99"/>
    <w:unhideWhenUsed/>
    <w:rsid w:val="00B62FBA"/>
    <w:rPr>
      <w:color w:val="0000FF"/>
      <w:u w:val="single"/>
    </w:rPr>
  </w:style>
  <w:style w:type="character" w:styleId="UnresolvedMention">
    <w:name w:val="Unresolved Mention"/>
    <w:basedOn w:val="DefaultParagraphFont"/>
    <w:uiPriority w:val="99"/>
    <w:semiHidden/>
    <w:unhideWhenUsed/>
    <w:rsid w:val="00B62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Denney</dc:creator>
  <cp:keywords/>
  <dc:description/>
  <cp:lastModifiedBy>Paul Newson</cp:lastModifiedBy>
  <cp:revision>3</cp:revision>
  <dcterms:created xsi:type="dcterms:W3CDTF">2019-07-09T10:31:00Z</dcterms:created>
  <dcterms:modified xsi:type="dcterms:W3CDTF">2025-06-24T08:59:00Z</dcterms:modified>
</cp:coreProperties>
</file>