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E02530" w:rsidRDefault="005D783E" w:rsidP="003C338F">
      <w:pPr>
        <w:tabs>
          <w:tab w:val="left" w:pos="474"/>
        </w:tabs>
        <w:spacing w:after="0"/>
        <w:contextualSpacing/>
        <w:rPr>
          <w:rFonts w:ascii="Times New Roman" w:hAnsi="Times New Roman"/>
          <w:sz w:val="24"/>
          <w:szCs w:val="24"/>
        </w:rPr>
      </w:pPr>
    </w:p>
    <w:p w14:paraId="39E9118B" w14:textId="561C5F5A" w:rsidR="00617533" w:rsidRPr="00E02530" w:rsidRDefault="00492065" w:rsidP="008609CB">
      <w:pPr>
        <w:spacing w:after="0"/>
        <w:contextualSpacing/>
        <w:jc w:val="center"/>
        <w:rPr>
          <w:rFonts w:ascii="Times New Roman" w:hAnsi="Times New Roman"/>
          <w:b/>
          <w:sz w:val="24"/>
          <w:szCs w:val="24"/>
        </w:rPr>
      </w:pPr>
      <w:r w:rsidRPr="00E02530">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02530" w:rsidRDefault="00617533" w:rsidP="008609CB">
      <w:pPr>
        <w:spacing w:after="0"/>
        <w:contextualSpacing/>
        <w:jc w:val="center"/>
        <w:rPr>
          <w:rFonts w:ascii="Times New Roman" w:hAnsi="Times New Roman"/>
          <w:b/>
          <w:sz w:val="24"/>
          <w:szCs w:val="24"/>
        </w:rPr>
      </w:pPr>
    </w:p>
    <w:p w14:paraId="2C7EFD65" w14:textId="7795830B" w:rsidR="00617533" w:rsidRPr="00E02530" w:rsidRDefault="00617533" w:rsidP="008609CB">
      <w:pPr>
        <w:spacing w:after="0"/>
        <w:contextualSpacing/>
        <w:jc w:val="center"/>
        <w:rPr>
          <w:rFonts w:ascii="Times New Roman" w:hAnsi="Times New Roman"/>
          <w:b/>
          <w:sz w:val="36"/>
          <w:szCs w:val="36"/>
        </w:rPr>
      </w:pPr>
      <w:r w:rsidRPr="00E02530">
        <w:rPr>
          <w:rFonts w:ascii="Times New Roman" w:hAnsi="Times New Roman"/>
          <w:b/>
          <w:sz w:val="36"/>
          <w:szCs w:val="36"/>
        </w:rPr>
        <w:t xml:space="preserve">Inside Story – </w:t>
      </w:r>
      <w:r w:rsidR="004A7700" w:rsidRPr="00E02530">
        <w:rPr>
          <w:rFonts w:ascii="Times New Roman" w:hAnsi="Times New Roman"/>
          <w:b/>
          <w:sz w:val="36"/>
          <w:szCs w:val="36"/>
        </w:rPr>
        <w:t>September</w:t>
      </w:r>
      <w:r w:rsidR="00786CA6" w:rsidRPr="00E02530">
        <w:rPr>
          <w:rFonts w:ascii="Times New Roman" w:hAnsi="Times New Roman"/>
          <w:b/>
          <w:sz w:val="36"/>
          <w:szCs w:val="36"/>
        </w:rPr>
        <w:t xml:space="preserve"> </w:t>
      </w:r>
      <w:r w:rsidRPr="00E02530">
        <w:rPr>
          <w:rFonts w:ascii="Times New Roman" w:hAnsi="Times New Roman"/>
          <w:b/>
          <w:sz w:val="36"/>
          <w:szCs w:val="36"/>
        </w:rPr>
        <w:t>20</w:t>
      </w:r>
      <w:r w:rsidR="00782731" w:rsidRPr="00E02530">
        <w:rPr>
          <w:rFonts w:ascii="Times New Roman" w:hAnsi="Times New Roman"/>
          <w:b/>
          <w:sz w:val="36"/>
          <w:szCs w:val="36"/>
        </w:rPr>
        <w:t>2</w:t>
      </w:r>
      <w:r w:rsidR="00D10A38" w:rsidRPr="00E02530">
        <w:rPr>
          <w:rFonts w:ascii="Times New Roman" w:hAnsi="Times New Roman"/>
          <w:b/>
          <w:sz w:val="36"/>
          <w:szCs w:val="36"/>
        </w:rPr>
        <w:t>5</w:t>
      </w:r>
    </w:p>
    <w:p w14:paraId="1ECBC4F0" w14:textId="77777777" w:rsidR="00617533" w:rsidRPr="00E02530" w:rsidRDefault="00617533" w:rsidP="008609CB">
      <w:pPr>
        <w:spacing w:after="0"/>
        <w:contextualSpacing/>
        <w:jc w:val="center"/>
        <w:rPr>
          <w:rFonts w:ascii="Times New Roman" w:hAnsi="Times New Roman"/>
          <w:b/>
          <w:sz w:val="24"/>
          <w:szCs w:val="24"/>
        </w:rPr>
      </w:pPr>
    </w:p>
    <w:p w14:paraId="30827C62" w14:textId="77777777" w:rsidR="004A7700" w:rsidRPr="00E02530" w:rsidRDefault="004A7700" w:rsidP="004A7700">
      <w:pPr>
        <w:pStyle w:val="Sheading3arb"/>
        <w:numPr>
          <w:ilvl w:val="0"/>
          <w:numId w:val="0"/>
        </w:numPr>
        <w:spacing w:before="0" w:after="0" w:line="240" w:lineRule="auto"/>
        <w:ind w:left="851" w:hanging="851"/>
        <w:jc w:val="center"/>
        <w:rPr>
          <w:rFonts w:ascii="Times New Roman" w:hAnsi="Times New Roman" w:cs="Times New Roman"/>
          <w:sz w:val="32"/>
          <w:szCs w:val="32"/>
          <w:lang w:val="en-GB"/>
        </w:rPr>
      </w:pPr>
      <w:r w:rsidRPr="00E02530">
        <w:rPr>
          <w:rFonts w:ascii="Times New Roman" w:hAnsi="Times New Roman" w:cs="Times New Roman"/>
          <w:sz w:val="32"/>
          <w:szCs w:val="32"/>
          <w:lang w:val="en-GB"/>
        </w:rPr>
        <w:t xml:space="preserve">New </w:t>
      </w:r>
      <w:r w:rsidRPr="00E02530">
        <w:rPr>
          <w:rFonts w:ascii="Times New Roman" w:hAnsi="Times New Roman" w:cs="Times New Roman"/>
          <w:sz w:val="32"/>
          <w:szCs w:val="32"/>
          <w:lang w:val="en-GB"/>
        </w:rPr>
        <w:t>C</w:t>
      </w:r>
      <w:r w:rsidRPr="00E02530">
        <w:rPr>
          <w:rFonts w:ascii="Times New Roman" w:hAnsi="Times New Roman" w:cs="Times New Roman"/>
          <w:sz w:val="32"/>
          <w:szCs w:val="32"/>
          <w:lang w:val="en-GB"/>
        </w:rPr>
        <w:t xml:space="preserve">omprehensive </w:t>
      </w:r>
      <w:r w:rsidRPr="00E02530">
        <w:rPr>
          <w:rFonts w:ascii="Times New Roman" w:hAnsi="Times New Roman" w:cs="Times New Roman"/>
          <w:sz w:val="32"/>
          <w:szCs w:val="32"/>
          <w:lang w:val="en-GB"/>
        </w:rPr>
        <w:t>P</w:t>
      </w:r>
      <w:r w:rsidRPr="00E02530">
        <w:rPr>
          <w:rFonts w:ascii="Times New Roman" w:hAnsi="Times New Roman" w:cs="Times New Roman"/>
          <w:sz w:val="32"/>
          <w:szCs w:val="32"/>
          <w:lang w:val="en-GB"/>
        </w:rPr>
        <w:t>rotection</w:t>
      </w:r>
      <w:r w:rsidRPr="00E02530">
        <w:rPr>
          <w:rFonts w:ascii="Times New Roman" w:hAnsi="Times New Roman" w:cs="Times New Roman"/>
          <w:sz w:val="32"/>
          <w:szCs w:val="32"/>
          <w:lang w:val="en-GB"/>
        </w:rPr>
        <w:t xml:space="preserve"> in Bulgaria</w:t>
      </w:r>
      <w:r w:rsidRPr="00E02530">
        <w:rPr>
          <w:rFonts w:ascii="Times New Roman" w:hAnsi="Times New Roman" w:cs="Times New Roman"/>
          <w:sz w:val="32"/>
          <w:szCs w:val="32"/>
          <w:lang w:val="en-GB"/>
        </w:rPr>
        <w:t xml:space="preserve"> for</w:t>
      </w:r>
    </w:p>
    <w:p w14:paraId="22359E2B" w14:textId="7D3334EE" w:rsidR="004A7700" w:rsidRPr="00E02530" w:rsidRDefault="004A7700" w:rsidP="004A7700">
      <w:pPr>
        <w:pStyle w:val="Sheading3arb"/>
        <w:numPr>
          <w:ilvl w:val="0"/>
          <w:numId w:val="0"/>
        </w:numPr>
        <w:spacing w:before="0" w:after="0" w:line="240" w:lineRule="auto"/>
        <w:ind w:left="851" w:hanging="851"/>
        <w:jc w:val="center"/>
        <w:rPr>
          <w:rFonts w:ascii="Times New Roman" w:hAnsi="Times New Roman" w:cs="Times New Roman"/>
          <w:sz w:val="32"/>
          <w:szCs w:val="32"/>
          <w:lang w:val="en-GB"/>
        </w:rPr>
      </w:pPr>
      <w:r w:rsidRPr="00E02530">
        <w:rPr>
          <w:rFonts w:ascii="Times New Roman" w:hAnsi="Times New Roman" w:cs="Times New Roman"/>
          <w:sz w:val="32"/>
          <w:szCs w:val="32"/>
          <w:lang w:val="en-GB"/>
        </w:rPr>
        <w:t>C</w:t>
      </w:r>
      <w:r w:rsidRPr="00E02530">
        <w:rPr>
          <w:rFonts w:ascii="Times New Roman" w:hAnsi="Times New Roman" w:cs="Times New Roman"/>
          <w:sz w:val="32"/>
          <w:szCs w:val="32"/>
          <w:lang w:val="en-GB"/>
        </w:rPr>
        <w:t xml:space="preserve">lose-out </w:t>
      </w:r>
      <w:r w:rsidRPr="00E02530">
        <w:rPr>
          <w:rFonts w:ascii="Times New Roman" w:hAnsi="Times New Roman" w:cs="Times New Roman"/>
          <w:sz w:val="32"/>
          <w:szCs w:val="32"/>
          <w:lang w:val="en-GB"/>
        </w:rPr>
        <w:t>N</w:t>
      </w:r>
      <w:r w:rsidRPr="00E02530">
        <w:rPr>
          <w:rFonts w:ascii="Times New Roman" w:hAnsi="Times New Roman" w:cs="Times New Roman"/>
          <w:sz w:val="32"/>
          <w:szCs w:val="32"/>
          <w:lang w:val="en-GB"/>
        </w:rPr>
        <w:t xml:space="preserve">etting </w:t>
      </w:r>
      <w:r w:rsidRPr="00E02530">
        <w:rPr>
          <w:rFonts w:ascii="Times New Roman" w:hAnsi="Times New Roman" w:cs="Times New Roman"/>
          <w:sz w:val="32"/>
          <w:szCs w:val="32"/>
          <w:lang w:val="en-GB"/>
        </w:rPr>
        <w:t>A</w:t>
      </w:r>
      <w:r w:rsidRPr="00E02530">
        <w:rPr>
          <w:rFonts w:ascii="Times New Roman" w:hAnsi="Times New Roman" w:cs="Times New Roman"/>
          <w:sz w:val="32"/>
          <w:szCs w:val="32"/>
          <w:lang w:val="en-GB"/>
        </w:rPr>
        <w:t xml:space="preserve">rrangements in </w:t>
      </w:r>
      <w:r w:rsidRPr="00E02530">
        <w:rPr>
          <w:rFonts w:ascii="Times New Roman" w:hAnsi="Times New Roman" w:cs="Times New Roman"/>
          <w:sz w:val="32"/>
          <w:szCs w:val="32"/>
          <w:lang w:val="en-GB"/>
        </w:rPr>
        <w:t>I</w:t>
      </w:r>
      <w:r w:rsidRPr="00E02530">
        <w:rPr>
          <w:rFonts w:ascii="Times New Roman" w:hAnsi="Times New Roman" w:cs="Times New Roman"/>
          <w:sz w:val="32"/>
          <w:szCs w:val="32"/>
          <w:lang w:val="en-GB"/>
        </w:rPr>
        <w:t>nsolvency</w:t>
      </w:r>
    </w:p>
    <w:p w14:paraId="2697BF1D" w14:textId="77777777" w:rsidR="000F0420" w:rsidRPr="00E02530" w:rsidRDefault="000F0420" w:rsidP="000F0420">
      <w:pPr>
        <w:pStyle w:val="NoSpacing"/>
        <w:jc w:val="center"/>
        <w:rPr>
          <w:rFonts w:ascii="Times New Roman" w:hAnsi="Times New Roman" w:cs="Times New Roman"/>
          <w:i/>
          <w:sz w:val="24"/>
          <w:szCs w:val="24"/>
          <w:lang w:val="en-GB"/>
        </w:rPr>
      </w:pPr>
    </w:p>
    <w:p w14:paraId="0DAE9D3B" w14:textId="2DFF8346" w:rsidR="0011226B" w:rsidRPr="00E02530" w:rsidRDefault="004A7700" w:rsidP="000F0420">
      <w:pPr>
        <w:pStyle w:val="NoSpacing"/>
        <w:jc w:val="center"/>
        <w:rPr>
          <w:rFonts w:ascii="Times New Roman" w:hAnsi="Times New Roman" w:cs="Times New Roman"/>
          <w:i/>
          <w:sz w:val="24"/>
          <w:szCs w:val="24"/>
          <w:shd w:val="clear" w:color="auto" w:fill="FFFFFF"/>
          <w:lang w:val="en-GB"/>
        </w:rPr>
      </w:pPr>
      <w:r w:rsidRPr="00E02530">
        <w:rPr>
          <w:rFonts w:ascii="Times New Roman" w:hAnsi="Times New Roman" w:cs="Times New Roman"/>
          <w:i/>
          <w:sz w:val="24"/>
          <w:szCs w:val="24"/>
          <w:lang w:val="en-GB"/>
        </w:rPr>
        <w:t>Tsvetan Krumov</w:t>
      </w:r>
      <w:r w:rsidR="000F0420" w:rsidRPr="00E02530">
        <w:rPr>
          <w:rFonts w:ascii="Times New Roman" w:hAnsi="Times New Roman" w:cs="Times New Roman"/>
          <w:i/>
          <w:sz w:val="24"/>
          <w:szCs w:val="24"/>
          <w:lang w:val="en-GB"/>
        </w:rPr>
        <w:t xml:space="preserve">, </w:t>
      </w:r>
      <w:r w:rsidRPr="00E02530">
        <w:rPr>
          <w:rFonts w:ascii="Times New Roman" w:hAnsi="Times New Roman" w:cs="Times New Roman"/>
          <w:i/>
          <w:sz w:val="24"/>
          <w:szCs w:val="24"/>
          <w:lang w:val="en-GB"/>
        </w:rPr>
        <w:t>Partner</w:t>
      </w:r>
      <w:r w:rsidRPr="00E02530">
        <w:rPr>
          <w:rFonts w:ascii="Times New Roman" w:hAnsi="Times New Roman" w:cs="Times New Roman"/>
          <w:i/>
          <w:sz w:val="24"/>
          <w:szCs w:val="24"/>
          <w:lang w:val="en-GB"/>
        </w:rPr>
        <w:t>,</w:t>
      </w:r>
      <w:r w:rsidRPr="00E02530">
        <w:rPr>
          <w:rFonts w:ascii="Times New Roman" w:hAnsi="Times New Roman" w:cs="Times New Roman"/>
          <w:i/>
          <w:sz w:val="24"/>
          <w:szCs w:val="24"/>
          <w:lang w:val="en-GB"/>
        </w:rPr>
        <w:t xml:space="preserve"> Schoenherr</w:t>
      </w:r>
      <w:r w:rsidRPr="00E02530">
        <w:rPr>
          <w:rFonts w:ascii="Times New Roman" w:hAnsi="Times New Roman" w:cs="Times New Roman"/>
          <w:i/>
          <w:sz w:val="24"/>
          <w:szCs w:val="24"/>
          <w:lang w:val="en-GB"/>
        </w:rPr>
        <w:t>,</w:t>
      </w:r>
      <w:r w:rsidRPr="00E02530">
        <w:rPr>
          <w:rFonts w:ascii="Times New Roman" w:hAnsi="Times New Roman" w:cs="Times New Roman"/>
          <w:i/>
          <w:sz w:val="24"/>
          <w:szCs w:val="24"/>
          <w:lang w:val="en-GB"/>
        </w:rPr>
        <w:t xml:space="preserve"> Bulgaria</w:t>
      </w:r>
      <w:r w:rsidRPr="00E02530">
        <w:rPr>
          <w:rFonts w:ascii="Times New Roman" w:hAnsi="Times New Roman" w:cs="Times New Roman"/>
          <w:i/>
          <w:sz w:val="24"/>
          <w:szCs w:val="24"/>
          <w:lang w:val="en-GB"/>
        </w:rPr>
        <w:t>;</w:t>
      </w:r>
      <w:r w:rsidRPr="00E02530">
        <w:rPr>
          <w:rFonts w:ascii="Times New Roman" w:hAnsi="Times New Roman" w:cs="Times New Roman"/>
          <w:i/>
          <w:sz w:val="24"/>
          <w:szCs w:val="24"/>
          <w:lang w:val="en-GB"/>
        </w:rPr>
        <w:t xml:space="preserve"> Senior Assistant Professor in Private International Law</w:t>
      </w:r>
      <w:r w:rsidRPr="00E02530">
        <w:rPr>
          <w:rFonts w:ascii="Times New Roman" w:hAnsi="Times New Roman" w:cs="Times New Roman"/>
          <w:i/>
          <w:sz w:val="24"/>
          <w:szCs w:val="24"/>
          <w:lang w:val="en-GB"/>
        </w:rPr>
        <w:t>,</w:t>
      </w:r>
      <w:r w:rsidRPr="00E02530">
        <w:rPr>
          <w:rFonts w:ascii="Times New Roman" w:hAnsi="Times New Roman" w:cs="Times New Roman"/>
          <w:i/>
          <w:sz w:val="24"/>
          <w:szCs w:val="24"/>
          <w:lang w:val="en-GB"/>
        </w:rPr>
        <w:t xml:space="preserve"> Law and State Institute</w:t>
      </w:r>
      <w:r w:rsidRPr="00E02530">
        <w:rPr>
          <w:rFonts w:ascii="Times New Roman" w:hAnsi="Times New Roman" w:cs="Times New Roman"/>
          <w:i/>
          <w:sz w:val="24"/>
          <w:szCs w:val="24"/>
          <w:lang w:val="en-GB"/>
        </w:rPr>
        <w:t>,</w:t>
      </w:r>
      <w:r w:rsidRPr="00E02530">
        <w:rPr>
          <w:rFonts w:ascii="Times New Roman" w:hAnsi="Times New Roman" w:cs="Times New Roman"/>
          <w:i/>
          <w:sz w:val="24"/>
          <w:szCs w:val="24"/>
          <w:lang w:val="en-GB"/>
        </w:rPr>
        <w:t xml:space="preserve"> Bulgarian Academy of Sciences</w:t>
      </w:r>
      <w:r w:rsidRPr="00E02530">
        <w:rPr>
          <w:rFonts w:ascii="Times New Roman" w:hAnsi="Times New Roman" w:cs="Times New Roman"/>
          <w:i/>
          <w:sz w:val="24"/>
          <w:szCs w:val="24"/>
          <w:lang w:val="en-GB"/>
        </w:rPr>
        <w:t>; C</w:t>
      </w:r>
      <w:r w:rsidRPr="00E02530">
        <w:rPr>
          <w:rFonts w:ascii="Times New Roman" w:hAnsi="Times New Roman" w:cs="Times New Roman"/>
          <w:i/>
          <w:sz w:val="24"/>
          <w:szCs w:val="24"/>
          <w:lang w:val="en-GB"/>
        </w:rPr>
        <w:t>o-</w:t>
      </w:r>
      <w:r w:rsidRPr="00E02530">
        <w:rPr>
          <w:rFonts w:ascii="Times New Roman" w:hAnsi="Times New Roman" w:cs="Times New Roman"/>
          <w:i/>
          <w:sz w:val="24"/>
          <w:szCs w:val="24"/>
          <w:lang w:val="en-GB"/>
        </w:rPr>
        <w:t>C</w:t>
      </w:r>
      <w:r w:rsidRPr="00E02530">
        <w:rPr>
          <w:rFonts w:ascii="Times New Roman" w:hAnsi="Times New Roman" w:cs="Times New Roman"/>
          <w:i/>
          <w:sz w:val="24"/>
          <w:szCs w:val="24"/>
          <w:lang w:val="en-GB"/>
        </w:rPr>
        <w:t>hairman</w:t>
      </w:r>
      <w:r w:rsidRPr="00E02530">
        <w:rPr>
          <w:rFonts w:ascii="Times New Roman" w:hAnsi="Times New Roman" w:cs="Times New Roman"/>
          <w:i/>
          <w:sz w:val="24"/>
          <w:szCs w:val="24"/>
          <w:lang w:val="en-GB"/>
        </w:rPr>
        <w:t>,</w:t>
      </w:r>
      <w:r w:rsidRPr="00E02530">
        <w:rPr>
          <w:rFonts w:ascii="Times New Roman" w:hAnsi="Times New Roman" w:cs="Times New Roman"/>
          <w:i/>
          <w:sz w:val="24"/>
          <w:szCs w:val="24"/>
          <w:lang w:val="en-GB"/>
        </w:rPr>
        <w:t xml:space="preserve"> </w:t>
      </w:r>
      <w:r w:rsidRPr="00E02530">
        <w:rPr>
          <w:rFonts w:ascii="Times New Roman" w:hAnsi="Times New Roman" w:cs="Times New Roman"/>
          <w:i/>
          <w:sz w:val="24"/>
          <w:szCs w:val="24"/>
          <w:lang w:val="en-GB"/>
        </w:rPr>
        <w:t>EBRD W</w:t>
      </w:r>
      <w:r w:rsidRPr="00E02530">
        <w:rPr>
          <w:rFonts w:ascii="Times New Roman" w:hAnsi="Times New Roman" w:cs="Times New Roman"/>
          <w:i/>
          <w:sz w:val="24"/>
          <w:szCs w:val="24"/>
          <w:lang w:val="en-GB"/>
        </w:rPr>
        <w:t xml:space="preserve">orking </w:t>
      </w:r>
      <w:r w:rsidRPr="00E02530">
        <w:rPr>
          <w:rFonts w:ascii="Times New Roman" w:hAnsi="Times New Roman" w:cs="Times New Roman"/>
          <w:i/>
          <w:sz w:val="24"/>
          <w:szCs w:val="24"/>
          <w:lang w:val="en-GB"/>
        </w:rPr>
        <w:t>G</w:t>
      </w:r>
      <w:r w:rsidRPr="00E02530">
        <w:rPr>
          <w:rFonts w:ascii="Times New Roman" w:hAnsi="Times New Roman" w:cs="Times New Roman"/>
          <w:i/>
          <w:sz w:val="24"/>
          <w:szCs w:val="24"/>
          <w:lang w:val="en-GB"/>
        </w:rPr>
        <w:t xml:space="preserve">roup </w:t>
      </w:r>
      <w:r w:rsidRPr="00E02530">
        <w:rPr>
          <w:rFonts w:ascii="Times New Roman" w:hAnsi="Times New Roman" w:cs="Times New Roman"/>
          <w:i/>
          <w:sz w:val="24"/>
          <w:szCs w:val="24"/>
          <w:lang w:val="en-GB"/>
        </w:rPr>
        <w:t xml:space="preserve">on the </w:t>
      </w:r>
      <w:r w:rsidRPr="00E02530">
        <w:rPr>
          <w:rFonts w:ascii="Times New Roman" w:hAnsi="Times New Roman" w:cs="Times New Roman"/>
          <w:i/>
          <w:sz w:val="24"/>
          <w:szCs w:val="24"/>
          <w:lang w:val="en-GB"/>
        </w:rPr>
        <w:t>Bulgarian close-out netting law</w:t>
      </w:r>
      <w:r w:rsidR="00D10A38" w:rsidRPr="00E02530">
        <w:rPr>
          <w:rFonts w:ascii="Times New Roman" w:hAnsi="Times New Roman" w:cs="Times New Roman"/>
          <w:i/>
          <w:sz w:val="24"/>
          <w:szCs w:val="24"/>
          <w:lang w:val="en-GB"/>
        </w:rPr>
        <w:t>. Email: &lt;</w:t>
      </w:r>
      <w:r w:rsidRPr="00E02530">
        <w:rPr>
          <w:rFonts w:ascii="Times New Roman" w:hAnsi="Times New Roman" w:cs="Times New Roman"/>
          <w:i/>
          <w:color w:val="1D2228"/>
          <w:sz w:val="24"/>
          <w:szCs w:val="24"/>
          <w:shd w:val="clear" w:color="auto" w:fill="FFFFFF"/>
          <w:lang w:val="en-GB"/>
        </w:rPr>
        <w:t>T.Krumov@schoenherr.eu</w:t>
      </w:r>
      <w:r w:rsidR="00D10A38" w:rsidRPr="00E02530">
        <w:rPr>
          <w:rFonts w:ascii="Times New Roman" w:hAnsi="Times New Roman" w:cs="Times New Roman"/>
          <w:i/>
          <w:sz w:val="24"/>
          <w:szCs w:val="24"/>
          <w:lang w:val="en-GB"/>
        </w:rPr>
        <w:t>&gt;</w:t>
      </w:r>
      <w:r w:rsidR="000F0420" w:rsidRPr="00E02530">
        <w:rPr>
          <w:rFonts w:ascii="Times New Roman" w:hAnsi="Times New Roman" w:cs="Times New Roman"/>
          <w:i/>
          <w:sz w:val="24"/>
          <w:szCs w:val="24"/>
          <w:lang w:val="en-GB"/>
        </w:rPr>
        <w:t>.</w:t>
      </w:r>
    </w:p>
    <w:p w14:paraId="0F26CF73" w14:textId="77777777" w:rsidR="000F0420" w:rsidRPr="00E02530" w:rsidRDefault="000F0420" w:rsidP="00FA6321">
      <w:pPr>
        <w:spacing w:after="0"/>
        <w:contextualSpacing/>
        <w:rPr>
          <w:rFonts w:ascii="Times New Roman" w:hAnsi="Times New Roman"/>
          <w:i/>
          <w:sz w:val="24"/>
          <w:szCs w:val="24"/>
        </w:rPr>
      </w:pPr>
    </w:p>
    <w:p w14:paraId="39F0D831" w14:textId="1242C9C4" w:rsidR="00FA6321" w:rsidRPr="00E02530" w:rsidRDefault="00FA6321" w:rsidP="000F0420">
      <w:pPr>
        <w:pStyle w:val="Heading2"/>
        <w:spacing w:before="0" w:after="0"/>
        <w:rPr>
          <w:rFonts w:ascii="Times New Roman" w:hAnsi="Times New Roman" w:cs="Times New Roman"/>
          <w:b w:val="0"/>
          <w:bCs w:val="0"/>
          <w:i w:val="0"/>
          <w:iCs w:val="0"/>
          <w:sz w:val="24"/>
          <w:szCs w:val="24"/>
        </w:rPr>
      </w:pPr>
      <w:r w:rsidRPr="00E02530">
        <w:rPr>
          <w:rFonts w:ascii="Times New Roman" w:hAnsi="Times New Roman" w:cs="Times New Roman"/>
          <w:b w:val="0"/>
          <w:bCs w:val="0"/>
          <w:sz w:val="24"/>
          <w:szCs w:val="24"/>
        </w:rPr>
        <w:t>Introduction</w:t>
      </w:r>
    </w:p>
    <w:p w14:paraId="67A29F73" w14:textId="77777777" w:rsidR="00FA6321" w:rsidRPr="00E02530" w:rsidRDefault="00FA6321" w:rsidP="004A7700">
      <w:pPr>
        <w:spacing w:after="0"/>
        <w:rPr>
          <w:rFonts w:ascii="Times New Roman" w:hAnsi="Times New Roman"/>
          <w:sz w:val="24"/>
          <w:szCs w:val="24"/>
        </w:rPr>
      </w:pPr>
    </w:p>
    <w:p w14:paraId="600D92C3" w14:textId="38103B3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rPr>
      </w:pPr>
      <w:r w:rsidRPr="00E02530">
        <w:rPr>
          <w:rFonts w:ascii="Times New Roman" w:hAnsi="Times New Roman"/>
          <w:sz w:val="24"/>
          <w:szCs w:val="24"/>
        </w:rPr>
        <w:t>A</w:t>
      </w:r>
      <w:r w:rsidRPr="00E02530">
        <w:rPr>
          <w:rFonts w:ascii="Times New Roman" w:hAnsi="Times New Roman"/>
          <w:sz w:val="24"/>
          <w:szCs w:val="24"/>
          <w14:ligatures w14:val="standardContextual"/>
        </w:rPr>
        <w:t xml:space="preserve"> comprehensive Bulgarian close-out netting law was promulgated</w:t>
      </w:r>
      <w:r w:rsidRPr="00E02530">
        <w:rPr>
          <w:rFonts w:ascii="Times New Roman" w:hAnsi="Times New Roman"/>
          <w:sz w:val="24"/>
          <w:szCs w:val="24"/>
        </w:rPr>
        <w:t xml:space="preserve"> on</w:t>
      </w:r>
      <w:r w:rsidRPr="00E02530">
        <w:rPr>
          <w:rFonts w:ascii="Times New Roman" w:hAnsi="Times New Roman"/>
          <w:sz w:val="24"/>
          <w:szCs w:val="24"/>
          <w14:ligatures w14:val="standardContextual"/>
        </w:rPr>
        <w:t xml:space="preserve"> 15</w:t>
      </w:r>
      <w:r w:rsidRPr="00E02530">
        <w:rPr>
          <w:rFonts w:ascii="Times New Roman" w:hAnsi="Times New Roman"/>
          <w:sz w:val="24"/>
          <w:szCs w:val="24"/>
          <w14:ligatures w14:val="standardContextual"/>
        </w:rPr>
        <w:t xml:space="preserve"> </w:t>
      </w:r>
      <w:r w:rsidRPr="00E02530">
        <w:rPr>
          <w:rFonts w:ascii="Times New Roman" w:hAnsi="Times New Roman"/>
          <w:sz w:val="24"/>
          <w:szCs w:val="24"/>
          <w14:ligatures w14:val="standardContextual"/>
        </w:rPr>
        <w:t>August</w:t>
      </w:r>
      <w:r w:rsidRPr="00E02530">
        <w:rPr>
          <w:rFonts w:ascii="Times New Roman" w:hAnsi="Times New Roman"/>
          <w:sz w:val="24"/>
          <w:szCs w:val="24"/>
          <w14:ligatures w14:val="standardContextual"/>
        </w:rPr>
        <w:t xml:space="preserve"> </w:t>
      </w:r>
      <w:r w:rsidRPr="00E02530">
        <w:rPr>
          <w:rFonts w:ascii="Times New Roman" w:hAnsi="Times New Roman"/>
          <w:sz w:val="24"/>
          <w:szCs w:val="24"/>
          <w14:ligatures w14:val="standardContextual"/>
        </w:rPr>
        <w:t>2025. It is structured as an amendment and supplement to the Financial</w:t>
      </w:r>
      <w:r w:rsidRPr="00E02530">
        <w:rPr>
          <w:rFonts w:ascii="Times New Roman" w:hAnsi="Times New Roman"/>
          <w:sz w:val="24"/>
          <w:szCs w:val="24"/>
        </w:rPr>
        <w:t xml:space="preserve"> Collateral Arrangements Act (the </w:t>
      </w:r>
      <w:r w:rsidRPr="00E02530">
        <w:rPr>
          <w:rFonts w:ascii="Times New Roman" w:hAnsi="Times New Roman"/>
          <w:sz w:val="24"/>
          <w:szCs w:val="24"/>
        </w:rPr>
        <w:t>“</w:t>
      </w:r>
      <w:r w:rsidRPr="00E02530">
        <w:rPr>
          <w:rFonts w:ascii="Times New Roman" w:hAnsi="Times New Roman"/>
          <w:b/>
          <w:bCs/>
          <w:sz w:val="24"/>
          <w:szCs w:val="24"/>
        </w:rPr>
        <w:t>Amendment</w:t>
      </w:r>
      <w:r w:rsidRPr="00E02530">
        <w:rPr>
          <w:rFonts w:ascii="Times New Roman" w:hAnsi="Times New Roman"/>
          <w:sz w:val="24"/>
          <w:szCs w:val="24"/>
        </w:rPr>
        <w:t>”</w:t>
      </w:r>
      <w:r w:rsidRPr="00E02530">
        <w:rPr>
          <w:rFonts w:ascii="Times New Roman" w:hAnsi="Times New Roman"/>
          <w:sz w:val="24"/>
          <w:szCs w:val="24"/>
        </w:rPr>
        <w:t xml:space="preserve">), which transposed the EU </w:t>
      </w:r>
      <w:r w:rsidRPr="00E02530">
        <w:rPr>
          <w:rFonts w:ascii="Times New Roman" w:hAnsi="Times New Roman"/>
          <w:sz w:val="24"/>
          <w:szCs w:val="24"/>
          <w14:ligatures w14:val="standardContextual"/>
        </w:rPr>
        <w:t>Financial</w:t>
      </w:r>
      <w:r w:rsidRPr="00E02530">
        <w:rPr>
          <w:rFonts w:ascii="Times New Roman" w:hAnsi="Times New Roman"/>
          <w:sz w:val="24"/>
          <w:szCs w:val="24"/>
        </w:rPr>
        <w:t xml:space="preserve"> Collateral Directive 2002/47/EC (the </w:t>
      </w:r>
      <w:r w:rsidRPr="00E02530">
        <w:rPr>
          <w:rFonts w:ascii="Times New Roman" w:hAnsi="Times New Roman"/>
          <w:sz w:val="24"/>
          <w:szCs w:val="24"/>
        </w:rPr>
        <w:t>“</w:t>
      </w:r>
      <w:r w:rsidRPr="00E02530">
        <w:rPr>
          <w:rFonts w:ascii="Times New Roman" w:hAnsi="Times New Roman"/>
          <w:b/>
          <w:bCs/>
          <w:sz w:val="24"/>
          <w:szCs w:val="24"/>
        </w:rPr>
        <w:t>FCD</w:t>
      </w:r>
      <w:r w:rsidRPr="00E02530">
        <w:rPr>
          <w:rFonts w:ascii="Times New Roman" w:hAnsi="Times New Roman"/>
          <w:sz w:val="24"/>
          <w:szCs w:val="24"/>
        </w:rPr>
        <w:t>”</w:t>
      </w:r>
      <w:r w:rsidRPr="00E02530">
        <w:rPr>
          <w:rFonts w:ascii="Times New Roman" w:hAnsi="Times New Roman"/>
          <w:sz w:val="24"/>
          <w:szCs w:val="24"/>
        </w:rPr>
        <w:t xml:space="preserve">) in Bulgaria. To reflect its broader scope, the title of the act was also changed to the </w:t>
      </w:r>
      <w:r w:rsidRPr="00E02530">
        <w:rPr>
          <w:rFonts w:ascii="Times New Roman" w:hAnsi="Times New Roman"/>
          <w:sz w:val="24"/>
          <w:szCs w:val="24"/>
        </w:rPr>
        <w:t>“</w:t>
      </w:r>
      <w:r w:rsidRPr="00E02530">
        <w:rPr>
          <w:rFonts w:ascii="Times New Roman" w:hAnsi="Times New Roman"/>
          <w:sz w:val="24"/>
          <w:szCs w:val="24"/>
          <w14:ligatures w14:val="standardContextual"/>
        </w:rPr>
        <w:t>Financial</w:t>
      </w:r>
      <w:r w:rsidRPr="00E02530">
        <w:rPr>
          <w:rFonts w:ascii="Times New Roman" w:hAnsi="Times New Roman"/>
          <w:sz w:val="24"/>
          <w:szCs w:val="24"/>
        </w:rPr>
        <w:t xml:space="preserve"> Collateral and Close-out Netting Arrangements Act</w:t>
      </w:r>
      <w:r w:rsidRPr="00E02530">
        <w:rPr>
          <w:rFonts w:ascii="Times New Roman" w:hAnsi="Times New Roman"/>
          <w:sz w:val="24"/>
          <w:szCs w:val="24"/>
        </w:rPr>
        <w:t>”</w:t>
      </w:r>
      <w:r w:rsidRPr="00E02530">
        <w:rPr>
          <w:rFonts w:ascii="Times New Roman" w:hAnsi="Times New Roman"/>
          <w:sz w:val="24"/>
          <w:szCs w:val="24"/>
        </w:rPr>
        <w:t xml:space="preserve"> (the </w:t>
      </w:r>
      <w:r w:rsidRPr="00E02530">
        <w:rPr>
          <w:rFonts w:ascii="Times New Roman" w:hAnsi="Times New Roman"/>
          <w:sz w:val="24"/>
          <w:szCs w:val="24"/>
        </w:rPr>
        <w:t>“</w:t>
      </w:r>
      <w:r w:rsidRPr="00E02530">
        <w:rPr>
          <w:rFonts w:ascii="Times New Roman" w:hAnsi="Times New Roman"/>
          <w:b/>
          <w:bCs/>
          <w:sz w:val="24"/>
          <w:szCs w:val="24"/>
        </w:rPr>
        <w:t>Act</w:t>
      </w:r>
      <w:r w:rsidRPr="00E02530">
        <w:rPr>
          <w:rFonts w:ascii="Times New Roman" w:hAnsi="Times New Roman"/>
          <w:sz w:val="24"/>
          <w:szCs w:val="24"/>
        </w:rPr>
        <w:t>”</w:t>
      </w:r>
      <w:r w:rsidRPr="00E02530">
        <w:rPr>
          <w:rFonts w:ascii="Times New Roman" w:hAnsi="Times New Roman"/>
          <w:sz w:val="24"/>
          <w:szCs w:val="24"/>
        </w:rPr>
        <w:t>).</w:t>
      </w:r>
    </w:p>
    <w:p w14:paraId="61BC8744"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rPr>
      </w:pPr>
    </w:p>
    <w:p w14:paraId="03C4370F" w14:textId="27959CFA" w:rsidR="004A7700" w:rsidRPr="00E02530" w:rsidRDefault="004A7700" w:rsidP="004A7700">
      <w:pPr>
        <w:numPr>
          <w:ilvl w:val="1"/>
          <w:numId w:val="0"/>
        </w:numPr>
        <w:tabs>
          <w:tab w:val="num" w:pos="680"/>
        </w:tabs>
        <w:suppressAutoHyphens/>
        <w:spacing w:after="0"/>
        <w:rPr>
          <w:rFonts w:ascii="Times New Roman" w:hAnsi="Times New Roman"/>
          <w:sz w:val="24"/>
          <w:szCs w:val="24"/>
          <w:lang w:eastAsia="en-US"/>
        </w:rPr>
      </w:pPr>
      <w:r w:rsidRPr="00E02530">
        <w:rPr>
          <w:rFonts w:ascii="Times New Roman" w:hAnsi="Times New Roman"/>
          <w:sz w:val="24"/>
          <w:szCs w:val="24"/>
          <w:lang w:eastAsia="en-US"/>
        </w:rPr>
        <w:t xml:space="preserve">The structural approach of the Amendment introduces a new close-out netting regime, building on the well-established financial collateral concepts that have been applied and court-tested in Bulgaria for over 18 years. Furthermore, to define the scope of the new regime, the Amendment refers to the terminology according to the domestic transposition of the EU MiFID Directive 2014/65/EU (the </w:t>
      </w:r>
      <w:r w:rsidRPr="00E02530">
        <w:rPr>
          <w:rFonts w:ascii="Times New Roman" w:hAnsi="Times New Roman"/>
          <w:sz w:val="24"/>
          <w:szCs w:val="24"/>
          <w:lang w:eastAsia="en-US"/>
        </w:rPr>
        <w:t>“</w:t>
      </w:r>
      <w:r w:rsidRPr="00E02530">
        <w:rPr>
          <w:rFonts w:ascii="Times New Roman" w:hAnsi="Times New Roman"/>
          <w:b/>
          <w:bCs/>
          <w:sz w:val="24"/>
          <w:szCs w:val="24"/>
          <w:lang w:eastAsia="en-US"/>
        </w:rPr>
        <w:t>MiFID</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while the new general conflict-of-law netting rule follows the wording under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25 of the EU Winding-up Directive 2001/24/EC (the </w:t>
      </w:r>
      <w:r w:rsidRPr="00E02530">
        <w:rPr>
          <w:rFonts w:ascii="Times New Roman" w:hAnsi="Times New Roman"/>
          <w:sz w:val="24"/>
          <w:szCs w:val="24"/>
          <w:lang w:eastAsia="en-US"/>
        </w:rPr>
        <w:t>“</w:t>
      </w:r>
      <w:r w:rsidRPr="00E02530">
        <w:rPr>
          <w:rFonts w:ascii="Times New Roman" w:hAnsi="Times New Roman"/>
          <w:b/>
          <w:bCs/>
          <w:sz w:val="24"/>
          <w:szCs w:val="24"/>
          <w:lang w:eastAsia="en-US"/>
        </w:rPr>
        <w:t>WUD</w:t>
      </w:r>
      <w:r w:rsidRPr="00E02530">
        <w:rPr>
          <w:rFonts w:ascii="Times New Roman" w:hAnsi="Times New Roman"/>
          <w:sz w:val="24"/>
          <w:szCs w:val="24"/>
          <w:lang w:eastAsia="en-US"/>
        </w:rPr>
        <w:t>”</w:t>
      </w:r>
      <w:r w:rsidRPr="00E02530">
        <w:rPr>
          <w:rFonts w:ascii="Times New Roman" w:hAnsi="Times New Roman"/>
          <w:sz w:val="24"/>
          <w:szCs w:val="24"/>
          <w:lang w:eastAsia="en-US"/>
        </w:rPr>
        <w:t>) as transposed in Bulgaria. Such reliance on established concepts will hopefully facilitate the practical application of the Amendment.</w:t>
      </w:r>
    </w:p>
    <w:p w14:paraId="73088EDB" w14:textId="77777777" w:rsidR="004A7700" w:rsidRPr="00E02530" w:rsidRDefault="004A7700" w:rsidP="004A7700">
      <w:pPr>
        <w:numPr>
          <w:ilvl w:val="1"/>
          <w:numId w:val="0"/>
        </w:numPr>
        <w:tabs>
          <w:tab w:val="num" w:pos="680"/>
        </w:tabs>
        <w:suppressAutoHyphens/>
        <w:spacing w:after="0"/>
        <w:rPr>
          <w:rFonts w:ascii="Times New Roman" w:hAnsi="Times New Roman"/>
          <w:sz w:val="24"/>
          <w:szCs w:val="24"/>
          <w:lang w:eastAsia="en-US"/>
        </w:rPr>
      </w:pPr>
    </w:p>
    <w:p w14:paraId="1980E35D" w14:textId="00205337" w:rsidR="004A7700" w:rsidRPr="00E02530" w:rsidRDefault="004A7700" w:rsidP="004A7700">
      <w:pPr>
        <w:numPr>
          <w:ilvl w:val="1"/>
          <w:numId w:val="0"/>
        </w:numPr>
        <w:tabs>
          <w:tab w:val="num" w:pos="680"/>
        </w:tabs>
        <w:suppressAutoHyphens/>
        <w:spacing w:after="0"/>
        <w:outlineLvl w:val="1"/>
        <w:rPr>
          <w:rFonts w:ascii="Times New Roman" w:hAnsi="Times New Roman"/>
          <w:i/>
          <w:iCs/>
          <w:sz w:val="24"/>
          <w:szCs w:val="24"/>
        </w:rPr>
      </w:pPr>
      <w:r w:rsidRPr="00E02530">
        <w:rPr>
          <w:rFonts w:ascii="Times New Roman" w:hAnsi="Times New Roman"/>
          <w:i/>
          <w:iCs/>
          <w:sz w:val="24"/>
          <w:szCs w:val="24"/>
          <w:lang w:eastAsia="en-US"/>
        </w:rPr>
        <w:t>What protections will the Amendment introduce for market participants?</w:t>
      </w:r>
    </w:p>
    <w:p w14:paraId="5960183F"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009F2102" w14:textId="6E3CB3CD"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So far, market participants have relied on complex and largely untested mechanisms, such as </w:t>
      </w:r>
      <w:r w:rsidRPr="00E02530">
        <w:rPr>
          <w:rFonts w:ascii="Times New Roman" w:hAnsi="Times New Roman"/>
          <w:sz w:val="24"/>
          <w:szCs w:val="24"/>
          <w:lang w:eastAsia="en-US"/>
        </w:rPr>
        <w:t>“</w:t>
      </w:r>
      <w:r w:rsidRPr="00E02530">
        <w:rPr>
          <w:rFonts w:ascii="Times New Roman" w:hAnsi="Times New Roman"/>
          <w:sz w:val="24"/>
          <w:szCs w:val="24"/>
          <w:lang w:eastAsia="en-US"/>
        </w:rPr>
        <w:t>automatic early termination</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clauses (</w:t>
      </w:r>
      <w:r w:rsidRPr="00E02530">
        <w:rPr>
          <w:rFonts w:ascii="Times New Roman" w:hAnsi="Times New Roman"/>
          <w:sz w:val="24"/>
          <w:szCs w:val="24"/>
          <w:lang w:eastAsia="en-US"/>
        </w:rPr>
        <w:t>“</w:t>
      </w:r>
      <w:r w:rsidRPr="00E02530">
        <w:rPr>
          <w:rFonts w:ascii="Times New Roman" w:hAnsi="Times New Roman"/>
          <w:b/>
          <w:bCs/>
          <w:sz w:val="24"/>
          <w:szCs w:val="24"/>
          <w:lang w:eastAsia="en-US"/>
        </w:rPr>
        <w:t>AETs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to </w:t>
      </w:r>
      <w:r w:rsidRPr="00E02530">
        <w:rPr>
          <w:rFonts w:ascii="Times New Roman" w:hAnsi="Times New Roman"/>
          <w:sz w:val="24"/>
          <w:szCs w:val="24"/>
          <w:lang w:eastAsia="en-US"/>
        </w:rPr>
        <w:t>“</w:t>
      </w:r>
      <w:r w:rsidRPr="00E02530">
        <w:rPr>
          <w:rFonts w:ascii="Times New Roman" w:hAnsi="Times New Roman"/>
          <w:sz w:val="24"/>
          <w:szCs w:val="24"/>
          <w:lang w:eastAsia="en-US"/>
        </w:rPr>
        <w:t>trigger</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the effects of close-out netting before a </w:t>
      </w:r>
      <w:bookmarkStart w:id="0" w:name="_Hlk204888540"/>
      <w:r w:rsidRPr="00E02530">
        <w:rPr>
          <w:rFonts w:ascii="Times New Roman" w:hAnsi="Times New Roman"/>
          <w:sz w:val="24"/>
          <w:szCs w:val="24"/>
          <w:lang w:eastAsia="en-US"/>
        </w:rPr>
        <w:t>“</w:t>
      </w:r>
      <w:r w:rsidRPr="00E02530">
        <w:rPr>
          <w:rFonts w:ascii="Times New Roman" w:hAnsi="Times New Roman"/>
          <w:sz w:val="24"/>
          <w:szCs w:val="24"/>
          <w:lang w:eastAsia="en-US"/>
        </w:rPr>
        <w:t>reorganisation measure</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is adopted or </w:t>
      </w:r>
      <w:r w:rsidRPr="00E02530">
        <w:rPr>
          <w:rFonts w:ascii="Times New Roman" w:hAnsi="Times New Roman"/>
          <w:sz w:val="24"/>
          <w:szCs w:val="24"/>
          <w:lang w:eastAsia="en-US"/>
        </w:rPr>
        <w:t>“</w:t>
      </w:r>
      <w:r w:rsidRPr="00E02530">
        <w:rPr>
          <w:rFonts w:ascii="Times New Roman" w:hAnsi="Times New Roman"/>
          <w:sz w:val="24"/>
          <w:szCs w:val="24"/>
          <w:lang w:eastAsia="en-US"/>
        </w:rPr>
        <w:t>winding-up proceedings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w:t>
      </w:r>
      <w:r w:rsidRPr="00E02530">
        <w:rPr>
          <w:rFonts w:ascii="Times New Roman" w:hAnsi="Times New Roman"/>
          <w:sz w:val="24"/>
          <w:szCs w:val="24"/>
        </w:rPr>
        <w:t>against</w:t>
      </w:r>
      <w:r w:rsidRPr="00E02530">
        <w:rPr>
          <w:rFonts w:ascii="Times New Roman" w:hAnsi="Times New Roman"/>
          <w:sz w:val="24"/>
          <w:szCs w:val="24"/>
          <w:lang w:eastAsia="en-US"/>
        </w:rPr>
        <w:t xml:space="preserve"> their Bulgarian counterparty commences</w:t>
      </w:r>
      <w:bookmarkEnd w:id="0"/>
      <w:r w:rsidRPr="00E02530">
        <w:rPr>
          <w:rFonts w:ascii="Times New Roman" w:hAnsi="Times New Roman"/>
          <w:sz w:val="24"/>
          <w:szCs w:val="24"/>
          <w:lang w:eastAsia="en-US"/>
        </w:rPr>
        <w:t xml:space="preserve"> (both latter terms in square brackets as defined under the Act in line with the FCD). Following the Amendment, parties acting within the scope of the Act will be able to terminate their transactions and benefit from the agreed close-out netting mechanism even after the adoption of </w:t>
      </w:r>
      <w:r w:rsidRPr="00E02530">
        <w:rPr>
          <w:rFonts w:ascii="Times New Roman" w:hAnsi="Times New Roman"/>
          <w:sz w:val="24"/>
          <w:szCs w:val="24"/>
          <w:lang w:eastAsia="en-US"/>
        </w:rPr>
        <w:t>“</w:t>
      </w:r>
      <w:r w:rsidRPr="00E02530">
        <w:rPr>
          <w:rFonts w:ascii="Times New Roman" w:hAnsi="Times New Roman"/>
          <w:sz w:val="24"/>
          <w:szCs w:val="24"/>
          <w:lang w:eastAsia="en-US"/>
        </w:rPr>
        <w:t>reorganisation measures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or the commencement of </w:t>
      </w:r>
      <w:r w:rsidRPr="00E02530">
        <w:rPr>
          <w:rFonts w:ascii="Times New Roman" w:hAnsi="Times New Roman"/>
          <w:sz w:val="24"/>
          <w:szCs w:val="24"/>
          <w:lang w:eastAsia="en-US"/>
        </w:rPr>
        <w:t>“</w:t>
      </w:r>
      <w:r w:rsidRPr="00E02530">
        <w:rPr>
          <w:rFonts w:ascii="Times New Roman" w:hAnsi="Times New Roman"/>
          <w:sz w:val="24"/>
          <w:szCs w:val="24"/>
          <w:lang w:eastAsia="en-US"/>
        </w:rPr>
        <w:t>winding-up proceedings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thus effectively escaping moratoriums and other insolvency restrictions.</w:t>
      </w:r>
    </w:p>
    <w:p w14:paraId="29CAA48D"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73C2025F" w14:textId="5F194646"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Moreover, certain insolvency avoidance rules will be partially mitigated or displaced with respect to close-out netting, substantially following the rule in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8 FCD on financial collateral. In addition, a new rule displaces avoidance provisions invalidating pre-insolvency payments under obligations covered by close-out </w:t>
      </w:r>
      <w:r w:rsidRPr="00E02530">
        <w:rPr>
          <w:rFonts w:ascii="Times New Roman" w:hAnsi="Times New Roman"/>
          <w:sz w:val="24"/>
          <w:szCs w:val="24"/>
        </w:rPr>
        <w:t>netting</w:t>
      </w:r>
      <w:r w:rsidRPr="00E02530">
        <w:rPr>
          <w:rFonts w:ascii="Times New Roman" w:hAnsi="Times New Roman"/>
          <w:sz w:val="24"/>
          <w:szCs w:val="24"/>
          <w:lang w:eastAsia="en-US"/>
        </w:rPr>
        <w:t xml:space="preserve"> arrangements when made during certain suspect periods, thereby extending protection to the underlying obligations as well.</w:t>
      </w:r>
    </w:p>
    <w:p w14:paraId="490BE828"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4D6EAF67"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Other special protection rules for close-out netting arrangements include:</w:t>
      </w:r>
    </w:p>
    <w:p w14:paraId="3B256376"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2A55E76B" w14:textId="3C9BAD6B" w:rsidR="004A7700" w:rsidRPr="00E02530" w:rsidRDefault="004A7700" w:rsidP="004A7700">
      <w:pPr>
        <w:pStyle w:val="ListParagraph"/>
        <w:numPr>
          <w:ilvl w:val="0"/>
          <w:numId w:val="12"/>
        </w:numPr>
        <w:tabs>
          <w:tab w:val="num" w:pos="680"/>
        </w:tabs>
        <w:suppressAutoHyphens/>
        <w:spacing w:after="0"/>
        <w:jc w:val="both"/>
        <w:outlineLvl w:val="1"/>
        <w:rPr>
          <w:rFonts w:ascii="Times New Roman" w:hAnsi="Times New Roman"/>
          <w:sz w:val="24"/>
          <w:szCs w:val="24"/>
          <w:lang w:val="en-GB"/>
        </w:rPr>
      </w:pPr>
      <w:r w:rsidRPr="00E02530">
        <w:rPr>
          <w:rFonts w:ascii="Times New Roman" w:hAnsi="Times New Roman"/>
          <w:sz w:val="24"/>
          <w:szCs w:val="24"/>
          <w:lang w:val="en-GB"/>
        </w:rPr>
        <w:t>a statutory reinforcement of the single-agreement concept, under which separate transactions covered by close-out netting arrangements may not be terminated individually but only as a whole; and</w:t>
      </w:r>
    </w:p>
    <w:p w14:paraId="74E1DCA3" w14:textId="05B5313B" w:rsidR="004A7700" w:rsidRPr="00E02530" w:rsidRDefault="004A7700" w:rsidP="004A7700">
      <w:pPr>
        <w:pStyle w:val="ListParagraph"/>
        <w:numPr>
          <w:ilvl w:val="0"/>
          <w:numId w:val="12"/>
        </w:numPr>
        <w:tabs>
          <w:tab w:val="num" w:pos="680"/>
        </w:tabs>
        <w:suppressAutoHyphens/>
        <w:spacing w:after="0"/>
        <w:jc w:val="both"/>
        <w:outlineLvl w:val="1"/>
        <w:rPr>
          <w:rFonts w:ascii="Times New Roman" w:hAnsi="Times New Roman"/>
          <w:sz w:val="24"/>
          <w:szCs w:val="24"/>
          <w:lang w:val="en-GB"/>
        </w:rPr>
      </w:pPr>
      <w:r w:rsidRPr="00E02530">
        <w:rPr>
          <w:rFonts w:ascii="Times New Roman" w:hAnsi="Times New Roman"/>
          <w:sz w:val="24"/>
          <w:szCs w:val="24"/>
          <w:lang w:val="en-GB"/>
        </w:rPr>
        <w:t>a prohibition on Bulgarian insolvency administrators from terminating governed by close-out-netting arrangements solely because winding-up proceedings have commenced.</w:t>
      </w:r>
    </w:p>
    <w:p w14:paraId="758D44B1"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72A4D7EC"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To benefit from these </w:t>
      </w:r>
      <w:r w:rsidRPr="00E02530">
        <w:rPr>
          <w:rFonts w:ascii="Times New Roman" w:hAnsi="Times New Roman"/>
          <w:sz w:val="24"/>
          <w:szCs w:val="24"/>
        </w:rPr>
        <w:t>protections</w:t>
      </w:r>
      <w:r w:rsidRPr="00E02530">
        <w:rPr>
          <w:rFonts w:ascii="Times New Roman" w:hAnsi="Times New Roman"/>
          <w:sz w:val="24"/>
          <w:szCs w:val="24"/>
          <w:lang w:eastAsia="en-US"/>
        </w:rPr>
        <w:t>, parties must ensure their arrangements fall within the scope of the Act, meaning:</w:t>
      </w:r>
    </w:p>
    <w:p w14:paraId="49CC5485"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639C296A" w14:textId="78EDC1DD" w:rsidR="004A7700" w:rsidRPr="00E02530" w:rsidRDefault="004A7700" w:rsidP="004A7700">
      <w:pPr>
        <w:pStyle w:val="ListParagraph"/>
        <w:numPr>
          <w:ilvl w:val="0"/>
          <w:numId w:val="13"/>
        </w:numPr>
        <w:tabs>
          <w:tab w:val="num" w:pos="680"/>
        </w:tabs>
        <w:suppressAutoHyphens/>
        <w:spacing w:after="0"/>
        <w:outlineLvl w:val="1"/>
        <w:rPr>
          <w:rFonts w:ascii="Times New Roman" w:hAnsi="Times New Roman"/>
          <w:sz w:val="24"/>
          <w:szCs w:val="24"/>
          <w:lang w:val="en-GB"/>
        </w:rPr>
      </w:pPr>
      <w:r w:rsidRPr="00E02530">
        <w:rPr>
          <w:rFonts w:ascii="Times New Roman" w:hAnsi="Times New Roman"/>
          <w:sz w:val="24"/>
          <w:szCs w:val="24"/>
          <w:lang w:val="en-GB"/>
        </w:rPr>
        <w:t xml:space="preserve">they meet the statutory definition of </w:t>
      </w:r>
      <w:r w:rsidRPr="00E02530">
        <w:rPr>
          <w:rFonts w:ascii="Times New Roman" w:hAnsi="Times New Roman"/>
          <w:sz w:val="24"/>
          <w:szCs w:val="24"/>
          <w:lang w:val="en-GB"/>
        </w:rPr>
        <w:t>“</w:t>
      </w:r>
      <w:r w:rsidRPr="00E02530">
        <w:rPr>
          <w:rFonts w:ascii="Times New Roman" w:hAnsi="Times New Roman"/>
          <w:sz w:val="24"/>
          <w:szCs w:val="24"/>
          <w:lang w:val="en-GB"/>
        </w:rPr>
        <w:t>close-out-netting provision</w:t>
      </w:r>
      <w:r w:rsidRPr="00E02530">
        <w:rPr>
          <w:rFonts w:ascii="Times New Roman" w:hAnsi="Times New Roman"/>
          <w:sz w:val="24"/>
          <w:szCs w:val="24"/>
          <w:lang w:val="en-GB"/>
        </w:rPr>
        <w:t>”</w:t>
      </w:r>
      <w:r w:rsidRPr="00E02530">
        <w:rPr>
          <w:rFonts w:ascii="Times New Roman" w:hAnsi="Times New Roman"/>
          <w:sz w:val="24"/>
          <w:szCs w:val="24"/>
          <w:lang w:val="en-GB"/>
        </w:rPr>
        <w:t>;</w:t>
      </w:r>
    </w:p>
    <w:p w14:paraId="69D6D2BF" w14:textId="77777777" w:rsidR="004A7700" w:rsidRPr="00E02530" w:rsidRDefault="004A7700" w:rsidP="004A7700">
      <w:pPr>
        <w:pStyle w:val="ListParagraph"/>
        <w:numPr>
          <w:ilvl w:val="0"/>
          <w:numId w:val="13"/>
        </w:numPr>
        <w:tabs>
          <w:tab w:val="num" w:pos="680"/>
        </w:tabs>
        <w:suppressAutoHyphens/>
        <w:spacing w:after="0"/>
        <w:outlineLvl w:val="1"/>
        <w:rPr>
          <w:rFonts w:ascii="Times New Roman" w:hAnsi="Times New Roman"/>
          <w:sz w:val="24"/>
          <w:szCs w:val="24"/>
          <w:lang w:val="en-GB"/>
        </w:rPr>
      </w:pPr>
      <w:r w:rsidRPr="00E02530">
        <w:rPr>
          <w:rFonts w:ascii="Times New Roman" w:hAnsi="Times New Roman"/>
          <w:sz w:val="24"/>
          <w:szCs w:val="24"/>
          <w:lang w:val="en-GB"/>
        </w:rPr>
        <w:t>both parties are eligible under the personal scope of the Act; and</w:t>
      </w:r>
    </w:p>
    <w:p w14:paraId="17DA54C6" w14:textId="03FF00A8" w:rsidR="004A7700" w:rsidRPr="00E02530" w:rsidRDefault="004A7700" w:rsidP="004A7700">
      <w:pPr>
        <w:pStyle w:val="ListParagraph"/>
        <w:numPr>
          <w:ilvl w:val="0"/>
          <w:numId w:val="13"/>
        </w:numPr>
        <w:tabs>
          <w:tab w:val="num" w:pos="680"/>
        </w:tabs>
        <w:suppressAutoHyphens/>
        <w:spacing w:after="0"/>
        <w:outlineLvl w:val="1"/>
        <w:rPr>
          <w:rFonts w:ascii="Times New Roman" w:hAnsi="Times New Roman"/>
          <w:sz w:val="24"/>
          <w:szCs w:val="24"/>
          <w:lang w:val="en-GB"/>
        </w:rPr>
      </w:pPr>
      <w:r w:rsidRPr="00E02530">
        <w:rPr>
          <w:rFonts w:ascii="Times New Roman" w:hAnsi="Times New Roman"/>
          <w:sz w:val="24"/>
          <w:szCs w:val="24"/>
          <w:lang w:val="en-GB"/>
        </w:rPr>
        <w:t>the underlying obligations for which close-out netting applies are eligible under the subject-matter scope of the Act.</w:t>
      </w:r>
    </w:p>
    <w:p w14:paraId="4A4B95A5"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2DF2F7A3" w14:textId="6F4CFD9F"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The most important scope-related rules will be briefly summarised in </w:t>
      </w:r>
      <w:r w:rsidRPr="00E02530">
        <w:rPr>
          <w:rFonts w:ascii="Times New Roman" w:hAnsi="Times New Roman"/>
          <w:sz w:val="24"/>
          <w:szCs w:val="24"/>
        </w:rPr>
        <w:t>the</w:t>
      </w:r>
      <w:r w:rsidRPr="00E02530">
        <w:rPr>
          <w:rFonts w:ascii="Times New Roman" w:hAnsi="Times New Roman"/>
          <w:sz w:val="24"/>
          <w:szCs w:val="24"/>
          <w:lang w:eastAsia="en-US"/>
        </w:rPr>
        <w:t xml:space="preserve"> following sections.</w:t>
      </w:r>
    </w:p>
    <w:p w14:paraId="77AAB6BE"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5D12FB89" w14:textId="6B318C22" w:rsidR="004A7700" w:rsidRPr="00E02530" w:rsidRDefault="004A7700" w:rsidP="004A7700">
      <w:pPr>
        <w:numPr>
          <w:ilvl w:val="1"/>
          <w:numId w:val="0"/>
        </w:numPr>
        <w:tabs>
          <w:tab w:val="num" w:pos="680"/>
        </w:tabs>
        <w:suppressAutoHyphens/>
        <w:spacing w:after="0"/>
        <w:ind w:left="680" w:hanging="680"/>
        <w:outlineLvl w:val="1"/>
        <w:rPr>
          <w:rFonts w:ascii="Times New Roman" w:hAnsi="Times New Roman"/>
          <w:i/>
          <w:iCs/>
          <w:sz w:val="24"/>
          <w:szCs w:val="24"/>
          <w:lang w:eastAsia="en-US"/>
        </w:rPr>
      </w:pPr>
      <w:r w:rsidRPr="00E02530">
        <w:rPr>
          <w:rFonts w:ascii="Times New Roman" w:hAnsi="Times New Roman"/>
          <w:i/>
          <w:iCs/>
          <w:sz w:val="24"/>
          <w:szCs w:val="24"/>
          <w:lang w:eastAsia="en-US"/>
        </w:rPr>
        <w:t>Definition of close-out netting provision</w:t>
      </w:r>
    </w:p>
    <w:p w14:paraId="51FDC38A"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3C489002" w14:textId="67A9DC7F"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The same definition of </w:t>
      </w:r>
      <w:r w:rsidRPr="00E02530">
        <w:rPr>
          <w:rFonts w:ascii="Times New Roman" w:hAnsi="Times New Roman"/>
          <w:sz w:val="24"/>
          <w:szCs w:val="24"/>
          <w:lang w:eastAsia="en-US"/>
        </w:rPr>
        <w:t>“</w:t>
      </w:r>
      <w:r w:rsidRPr="00E02530">
        <w:rPr>
          <w:rFonts w:ascii="Times New Roman" w:hAnsi="Times New Roman"/>
          <w:sz w:val="24"/>
          <w:szCs w:val="24"/>
          <w:lang w:eastAsia="en-US"/>
        </w:rPr>
        <w:t>netting provision</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under the Act –</w:t>
      </w:r>
      <w:r w:rsidRPr="00E02530">
        <w:rPr>
          <w:rFonts w:ascii="Times New Roman" w:hAnsi="Times New Roman"/>
          <w:sz w:val="24"/>
          <w:szCs w:val="24"/>
        </w:rPr>
        <w:t xml:space="preserve"> </w:t>
      </w:r>
      <w:r w:rsidRPr="00E02530">
        <w:rPr>
          <w:rFonts w:ascii="Times New Roman" w:hAnsi="Times New Roman"/>
          <w:sz w:val="24"/>
          <w:szCs w:val="24"/>
          <w:lang w:eastAsia="en-US"/>
        </w:rPr>
        <w:t xml:space="preserve">which has applied to financial collateral arrangements – will now also apply to the new close-out netting regime introduced by the Amendment. That definition in turn </w:t>
      </w:r>
      <w:r w:rsidRPr="00E02530">
        <w:rPr>
          <w:rFonts w:ascii="Times New Roman" w:hAnsi="Times New Roman"/>
          <w:sz w:val="24"/>
          <w:szCs w:val="24"/>
        </w:rPr>
        <w:t>substantially</w:t>
      </w:r>
      <w:r w:rsidRPr="00E02530">
        <w:rPr>
          <w:rFonts w:ascii="Times New Roman" w:hAnsi="Times New Roman"/>
          <w:sz w:val="24"/>
          <w:szCs w:val="24"/>
          <w:lang w:eastAsia="en-US"/>
        </w:rPr>
        <w:t xml:space="preserve"> follows the wording of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2(1)(n) FCD. It is sufficiently broad to cover both mechanisms where </w:t>
      </w:r>
      <w:r w:rsidRPr="00E02530">
        <w:rPr>
          <w:rFonts w:ascii="Times New Roman" w:hAnsi="Times New Roman"/>
          <w:sz w:val="24"/>
          <w:szCs w:val="24"/>
          <w:lang w:eastAsia="en-US"/>
        </w:rPr>
        <w:t>“</w:t>
      </w:r>
      <w:r w:rsidRPr="00E02530">
        <w:rPr>
          <w:rFonts w:ascii="Times New Roman" w:hAnsi="Times New Roman"/>
          <w:sz w:val="24"/>
          <w:szCs w:val="24"/>
          <w:lang w:eastAsia="en-US"/>
        </w:rPr>
        <w:t>values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of terminated transactions are compared to calculate close-out amounts under the ISDA Master Agreement, as well as classic set-off mechanisms with respect to obligations that have become due prior to termination (e.g. unpaid amounts under the ISDA Master Agreement or obligations under GMRA repurchase or GMSLA securities lending transactions).</w:t>
      </w:r>
    </w:p>
    <w:p w14:paraId="7A7CD1A5"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46C98361" w14:textId="21839B28"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As with the relevant definition, the trigger for the close-out netting arrangements </w:t>
      </w:r>
      <w:r w:rsidRPr="00E02530">
        <w:rPr>
          <w:rFonts w:ascii="Times New Roman" w:hAnsi="Times New Roman"/>
          <w:sz w:val="24"/>
          <w:szCs w:val="24"/>
        </w:rPr>
        <w:t>will</w:t>
      </w:r>
      <w:r w:rsidRPr="00E02530">
        <w:rPr>
          <w:rFonts w:ascii="Times New Roman" w:hAnsi="Times New Roman"/>
          <w:sz w:val="24"/>
          <w:szCs w:val="24"/>
          <w:lang w:eastAsia="en-US"/>
        </w:rPr>
        <w:t xml:space="preserve"> be the </w:t>
      </w:r>
      <w:r w:rsidRPr="00E02530">
        <w:rPr>
          <w:rFonts w:ascii="Times New Roman" w:hAnsi="Times New Roman"/>
          <w:sz w:val="24"/>
          <w:szCs w:val="24"/>
          <w:lang w:eastAsia="en-US"/>
        </w:rPr>
        <w:t>“</w:t>
      </w:r>
      <w:r w:rsidRPr="00E02530">
        <w:rPr>
          <w:rFonts w:ascii="Times New Roman" w:hAnsi="Times New Roman"/>
          <w:sz w:val="24"/>
          <w:szCs w:val="24"/>
          <w:lang w:eastAsia="en-US"/>
        </w:rPr>
        <w:t>enforcement event</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(as per the local transposition of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1(2)(l) FCD), which has so far applied only to financial collateral, referring in turn to an event of default or </w:t>
      </w:r>
      <w:r w:rsidRPr="00E02530">
        <w:rPr>
          <w:rFonts w:ascii="Times New Roman" w:hAnsi="Times New Roman"/>
          <w:sz w:val="24"/>
          <w:szCs w:val="24"/>
          <w:lang w:eastAsia="en-US"/>
        </w:rPr>
        <w:t>“</w:t>
      </w:r>
      <w:r w:rsidRPr="00E02530">
        <w:rPr>
          <w:rFonts w:ascii="Times New Roman" w:hAnsi="Times New Roman"/>
          <w:sz w:val="24"/>
          <w:szCs w:val="24"/>
          <w:lang w:eastAsia="en-US"/>
        </w:rPr>
        <w:t>any similar event</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as agreed between the parties.</w:t>
      </w:r>
    </w:p>
    <w:p w14:paraId="50E41CE1"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3BC1F43C" w14:textId="42F55C12" w:rsidR="004A7700" w:rsidRPr="00E02530" w:rsidRDefault="004A7700" w:rsidP="004A7700">
      <w:pPr>
        <w:keepNext/>
        <w:keepLines/>
        <w:tabs>
          <w:tab w:val="num" w:pos="680"/>
        </w:tabs>
        <w:suppressAutoHyphens/>
        <w:spacing w:after="0"/>
        <w:ind w:left="680" w:hanging="680"/>
        <w:jc w:val="left"/>
        <w:outlineLvl w:val="0"/>
        <w:rPr>
          <w:rFonts w:ascii="Times New Roman" w:hAnsi="Times New Roman"/>
          <w:i/>
          <w:iCs/>
          <w:sz w:val="24"/>
          <w:szCs w:val="24"/>
        </w:rPr>
      </w:pPr>
      <w:r w:rsidRPr="00E02530">
        <w:rPr>
          <w:rFonts w:ascii="Times New Roman" w:hAnsi="Times New Roman"/>
          <w:i/>
          <w:iCs/>
          <w:sz w:val="24"/>
          <w:szCs w:val="24"/>
          <w:lang w:eastAsia="en-US"/>
        </w:rPr>
        <w:t>Subject-matter scope of the Act</w:t>
      </w:r>
    </w:p>
    <w:p w14:paraId="1723950E"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1AC36D07" w14:textId="4B19FAE6"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The Act employs the linguistically identical term </w:t>
      </w:r>
      <w:r w:rsidRPr="00E02530">
        <w:rPr>
          <w:rFonts w:ascii="Times New Roman" w:hAnsi="Times New Roman"/>
          <w:sz w:val="24"/>
          <w:szCs w:val="24"/>
          <w:lang w:eastAsia="en-US"/>
        </w:rPr>
        <w:t>“</w:t>
      </w:r>
      <w:r w:rsidRPr="00E02530">
        <w:rPr>
          <w:rFonts w:ascii="Times New Roman" w:hAnsi="Times New Roman"/>
          <w:sz w:val="24"/>
          <w:szCs w:val="24"/>
          <w:lang w:eastAsia="en-US"/>
        </w:rPr>
        <w:t>financial obligations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to denote both the </w:t>
      </w:r>
      <w:r w:rsidRPr="00E02530">
        <w:rPr>
          <w:rFonts w:ascii="Times New Roman" w:hAnsi="Times New Roman"/>
          <w:sz w:val="24"/>
          <w:szCs w:val="24"/>
        </w:rPr>
        <w:t>obligations</w:t>
      </w:r>
      <w:r w:rsidRPr="00E02530">
        <w:rPr>
          <w:rFonts w:ascii="Times New Roman" w:hAnsi="Times New Roman"/>
          <w:sz w:val="24"/>
          <w:szCs w:val="24"/>
          <w:lang w:eastAsia="en-US"/>
        </w:rPr>
        <w:t xml:space="preserve"> secured by financial collateral </w:t>
      </w:r>
      <w:bookmarkStart w:id="1" w:name="_Hlk204889227"/>
      <w:r w:rsidRPr="00E02530">
        <w:rPr>
          <w:rFonts w:ascii="Times New Roman" w:hAnsi="Times New Roman"/>
          <w:sz w:val="24"/>
          <w:szCs w:val="24"/>
          <w:lang w:eastAsia="en-US"/>
        </w:rPr>
        <w:t>(</w:t>
      </w:r>
      <w:bookmarkStart w:id="2" w:name="_Hlk204891403"/>
      <w:r w:rsidRPr="00E02530">
        <w:rPr>
          <w:rFonts w:ascii="Times New Roman" w:hAnsi="Times New Roman"/>
          <w:sz w:val="24"/>
          <w:szCs w:val="24"/>
          <w:lang w:eastAsia="en-US"/>
        </w:rPr>
        <w:t xml:space="preserve">referred to in here as </w:t>
      </w:r>
      <w:bookmarkEnd w:id="2"/>
      <w:r w:rsidRPr="00E02530">
        <w:rPr>
          <w:rFonts w:ascii="Times New Roman" w:hAnsi="Times New Roman"/>
          <w:sz w:val="24"/>
          <w:szCs w:val="24"/>
          <w:lang w:eastAsia="en-US"/>
        </w:rPr>
        <w:t>“</w:t>
      </w:r>
      <w:r w:rsidRPr="00E02530">
        <w:rPr>
          <w:rFonts w:ascii="Times New Roman" w:hAnsi="Times New Roman"/>
          <w:b/>
          <w:bCs/>
          <w:sz w:val="24"/>
          <w:szCs w:val="24"/>
          <w:lang w:eastAsia="en-US"/>
        </w:rPr>
        <w:t>Collateral Financial Obligations</w:t>
      </w:r>
      <w:r w:rsidRPr="00E02530" w:rsidDel="00031ED3">
        <w:rPr>
          <w:rFonts w:ascii="Times New Roman" w:hAnsi="Times New Roman"/>
          <w:b/>
          <w:bCs/>
          <w:sz w:val="24"/>
          <w:szCs w:val="24"/>
          <w:lang w:eastAsia="en-US"/>
        </w:rPr>
        <w:t xml:space="preserve"> </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w:t>
      </w:r>
      <w:bookmarkEnd w:id="1"/>
      <w:r w:rsidRPr="00E02530">
        <w:rPr>
          <w:rFonts w:ascii="Times New Roman" w:hAnsi="Times New Roman"/>
          <w:sz w:val="24"/>
          <w:szCs w:val="24"/>
          <w:lang w:eastAsia="en-US"/>
        </w:rPr>
        <w:t>and the obligations for which close-out netting applies (</w:t>
      </w:r>
      <w:bookmarkStart w:id="3" w:name="_Hlk204900038"/>
      <w:r w:rsidRPr="00E02530">
        <w:rPr>
          <w:rFonts w:ascii="Times New Roman" w:hAnsi="Times New Roman"/>
          <w:sz w:val="24"/>
          <w:szCs w:val="24"/>
          <w:lang w:eastAsia="en-US"/>
        </w:rPr>
        <w:t xml:space="preserve">referred to as </w:t>
      </w:r>
      <w:bookmarkEnd w:id="3"/>
      <w:r w:rsidRPr="00E02530">
        <w:rPr>
          <w:rFonts w:ascii="Times New Roman" w:hAnsi="Times New Roman"/>
          <w:sz w:val="24"/>
          <w:szCs w:val="24"/>
          <w:lang w:eastAsia="en-US"/>
        </w:rPr>
        <w:t>“</w:t>
      </w:r>
      <w:r w:rsidRPr="00E02530">
        <w:rPr>
          <w:rFonts w:ascii="Times New Roman" w:hAnsi="Times New Roman"/>
          <w:b/>
          <w:bCs/>
          <w:sz w:val="24"/>
          <w:szCs w:val="24"/>
          <w:lang w:eastAsia="en-US"/>
        </w:rPr>
        <w:t>Netting Financial Obligations</w:t>
      </w:r>
      <w:r w:rsidRPr="00E02530">
        <w:rPr>
          <w:rFonts w:ascii="Times New Roman" w:hAnsi="Times New Roman"/>
          <w:sz w:val="24"/>
          <w:szCs w:val="24"/>
          <w:lang w:eastAsia="en-US"/>
        </w:rPr>
        <w:t>”</w:t>
      </w:r>
      <w:r w:rsidRPr="00E02530">
        <w:rPr>
          <w:rFonts w:ascii="Times New Roman" w:hAnsi="Times New Roman"/>
          <w:sz w:val="24"/>
          <w:szCs w:val="24"/>
          <w:lang w:eastAsia="en-US"/>
        </w:rPr>
        <w:t>). Since the actual definitions differ significantly, the two key concepts under the Act have a notably different subject-matter scope.</w:t>
      </w:r>
    </w:p>
    <w:p w14:paraId="3EBB27F7"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563A671B" w14:textId="2CF9037A"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The definition of Collateral Financial Obligations under the Act, following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2(1)(f) FCD, employs a functional approach, referring to obligations that may be settled by cash payment or </w:t>
      </w:r>
      <w:r w:rsidRPr="00E02530">
        <w:rPr>
          <w:rFonts w:ascii="Times New Roman" w:hAnsi="Times New Roman"/>
          <w:sz w:val="24"/>
          <w:szCs w:val="24"/>
        </w:rPr>
        <w:t>delivery</w:t>
      </w:r>
      <w:r w:rsidRPr="00E02530">
        <w:rPr>
          <w:rFonts w:ascii="Times New Roman" w:hAnsi="Times New Roman"/>
          <w:sz w:val="24"/>
          <w:szCs w:val="24"/>
          <w:lang w:eastAsia="en-US"/>
        </w:rPr>
        <w:t xml:space="preserve"> of financial instruments. This functional description covers a broad range of transactions, provided they can be executed in the prescribed manner.</w:t>
      </w:r>
    </w:p>
    <w:p w14:paraId="68072381"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19924E2D" w14:textId="74E9F0F0"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Conversely, the definition of Netting Financial Obligations covers obligations under a limited </w:t>
      </w:r>
      <w:r w:rsidRPr="00E02530">
        <w:rPr>
          <w:rFonts w:ascii="Times New Roman" w:hAnsi="Times New Roman"/>
          <w:sz w:val="24"/>
          <w:szCs w:val="24"/>
        </w:rPr>
        <w:t>number</w:t>
      </w:r>
      <w:r w:rsidRPr="00E02530">
        <w:rPr>
          <w:rFonts w:ascii="Times New Roman" w:hAnsi="Times New Roman"/>
          <w:sz w:val="24"/>
          <w:szCs w:val="24"/>
          <w:lang w:eastAsia="en-US"/>
        </w:rPr>
        <w:t xml:space="preserve"> of specific transactions. These include, first, all derivatives transactions under the MiFID implementation in Bulgaria. This is modified by displacing any requirements in the relevant derivatives transactions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definitions </w:t>
      </w:r>
      <w:r w:rsidRPr="00E02530">
        <w:rPr>
          <w:rFonts w:ascii="Times New Roman" w:hAnsi="Times New Roman"/>
          <w:sz w:val="24"/>
          <w:szCs w:val="24"/>
          <w:lang w:eastAsia="en-US"/>
        </w:rPr>
        <w:t>“</w:t>
      </w:r>
      <w:r w:rsidRPr="00E02530">
        <w:rPr>
          <w:rFonts w:ascii="Times New Roman" w:hAnsi="Times New Roman"/>
          <w:sz w:val="24"/>
          <w:szCs w:val="24"/>
          <w:lang w:eastAsia="en-US"/>
        </w:rPr>
        <w:t>to be dealt in on a trading venue</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thus expanding the subject-matter scope for commodity and economic statistics derivatives. </w:t>
      </w:r>
      <w:bookmarkStart w:id="4" w:name="_Hlk204893205"/>
      <w:r w:rsidRPr="00E02530">
        <w:rPr>
          <w:rFonts w:ascii="Times New Roman" w:hAnsi="Times New Roman"/>
          <w:sz w:val="24"/>
          <w:szCs w:val="24"/>
          <w:lang w:eastAsia="en-US"/>
        </w:rPr>
        <w:t xml:space="preserve">Netting Financial Obligations </w:t>
      </w:r>
      <w:bookmarkEnd w:id="4"/>
      <w:r w:rsidRPr="00E02530">
        <w:rPr>
          <w:rFonts w:ascii="Times New Roman" w:hAnsi="Times New Roman"/>
          <w:sz w:val="24"/>
          <w:szCs w:val="24"/>
          <w:lang w:eastAsia="en-US"/>
        </w:rPr>
        <w:t xml:space="preserve">also include obligations under securities and certain other financial instruments according to the domestic MiFID implementation, documented in </w:t>
      </w:r>
      <w:r w:rsidRPr="00E02530">
        <w:rPr>
          <w:rFonts w:ascii="Times New Roman" w:hAnsi="Times New Roman"/>
          <w:sz w:val="24"/>
          <w:szCs w:val="24"/>
          <w:lang w:eastAsia="en-US"/>
        </w:rPr>
        <w:t>“</w:t>
      </w:r>
      <w:r w:rsidRPr="00E02530">
        <w:rPr>
          <w:rFonts w:ascii="Times New Roman" w:hAnsi="Times New Roman"/>
          <w:sz w:val="24"/>
          <w:szCs w:val="24"/>
          <w:lang w:eastAsia="en-US"/>
        </w:rPr>
        <w:t>repurchase, securities lending and any other types of transactions</w:t>
      </w:r>
      <w:r w:rsidRPr="00E02530">
        <w:rPr>
          <w:rFonts w:ascii="Times New Roman" w:hAnsi="Times New Roman"/>
          <w:sz w:val="24"/>
          <w:szCs w:val="24"/>
          <w:lang w:eastAsia="en-US"/>
        </w:rPr>
        <w:t>”</w:t>
      </w:r>
      <w:r w:rsidRPr="00E02530">
        <w:rPr>
          <w:rFonts w:ascii="Times New Roman" w:hAnsi="Times New Roman"/>
          <w:sz w:val="24"/>
          <w:szCs w:val="24"/>
          <w:lang w:eastAsia="en-US"/>
        </w:rPr>
        <w:t>. Lastly, Netting Financial Obligations cover obligations secured by or under financial collateral arrangements.</w:t>
      </w:r>
    </w:p>
    <w:p w14:paraId="4DCD28AA"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1CCDE63F" w14:textId="05F94DFF" w:rsidR="004A7700" w:rsidRPr="00E02530" w:rsidRDefault="004A7700" w:rsidP="004A7700">
      <w:pPr>
        <w:keepNext/>
        <w:keepLines/>
        <w:tabs>
          <w:tab w:val="num" w:pos="680"/>
        </w:tabs>
        <w:suppressAutoHyphens/>
        <w:spacing w:after="0"/>
        <w:ind w:left="680" w:hanging="680"/>
        <w:jc w:val="left"/>
        <w:outlineLvl w:val="0"/>
        <w:rPr>
          <w:rFonts w:ascii="Times New Roman" w:hAnsi="Times New Roman"/>
          <w:i/>
          <w:iCs/>
          <w:sz w:val="24"/>
          <w:szCs w:val="24"/>
        </w:rPr>
      </w:pPr>
      <w:r w:rsidRPr="00E02530">
        <w:rPr>
          <w:rFonts w:ascii="Times New Roman" w:hAnsi="Times New Roman"/>
          <w:i/>
          <w:iCs/>
          <w:sz w:val="24"/>
          <w:szCs w:val="24"/>
          <w:lang w:eastAsia="en-US"/>
        </w:rPr>
        <w:t>Personal scope of the Act</w:t>
      </w:r>
    </w:p>
    <w:p w14:paraId="0C465689"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2206C6D2" w14:textId="4831EF23"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Following the Amendment, the Act now also has two separate sets of rules for the eligible </w:t>
      </w:r>
      <w:r w:rsidRPr="00E02530">
        <w:rPr>
          <w:rFonts w:ascii="Times New Roman" w:hAnsi="Times New Roman"/>
          <w:sz w:val="24"/>
          <w:szCs w:val="24"/>
        </w:rPr>
        <w:t>counterparties</w:t>
      </w:r>
      <w:r w:rsidRPr="00E02530">
        <w:rPr>
          <w:rFonts w:ascii="Times New Roman" w:hAnsi="Times New Roman"/>
          <w:sz w:val="24"/>
          <w:szCs w:val="24"/>
          <w:lang w:eastAsia="en-US"/>
        </w:rPr>
        <w:t xml:space="preserve"> (personal scope) – one for financial collateral arrangements and another for close-out netting arrangements.</w:t>
      </w:r>
    </w:p>
    <w:p w14:paraId="3EAFFC73"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79062826" w14:textId="16D60BA6"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The personal scope for financial collateral arrangements covers all specific sovereign and financial entities listed in </w:t>
      </w:r>
      <w:bookmarkStart w:id="5" w:name="_Hlk204794998"/>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1(2)(a–d) </w:t>
      </w:r>
      <w:bookmarkEnd w:id="5"/>
      <w:r w:rsidRPr="00E02530">
        <w:rPr>
          <w:rFonts w:ascii="Times New Roman" w:hAnsi="Times New Roman"/>
          <w:sz w:val="24"/>
          <w:szCs w:val="24"/>
          <w:lang w:eastAsia="en-US"/>
        </w:rPr>
        <w:t xml:space="preserve">FCD, extended in Bulgaria by some financial institutions not listed in the FCD (hereinafter referred to as </w:t>
      </w:r>
      <w:r w:rsidRPr="00E02530">
        <w:rPr>
          <w:rFonts w:ascii="Times New Roman" w:hAnsi="Times New Roman"/>
          <w:sz w:val="24"/>
          <w:szCs w:val="24"/>
          <w:lang w:eastAsia="en-US"/>
        </w:rPr>
        <w:t>“</w:t>
      </w:r>
      <w:r w:rsidRPr="00E02530">
        <w:rPr>
          <w:rFonts w:ascii="Times New Roman" w:hAnsi="Times New Roman"/>
          <w:b/>
          <w:bCs/>
          <w:sz w:val="24"/>
          <w:szCs w:val="24"/>
          <w:lang w:eastAsia="en-US"/>
        </w:rPr>
        <w:t>Professional Counterparties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Furthermore, the Amendment extended the eligible counterparties to persons </w:t>
      </w:r>
      <w:r w:rsidRPr="00E02530">
        <w:rPr>
          <w:rFonts w:ascii="Times New Roman" w:hAnsi="Times New Roman"/>
          <w:sz w:val="24"/>
          <w:szCs w:val="24"/>
          <w:lang w:eastAsia="en-US"/>
        </w:rPr>
        <w:t>“</w:t>
      </w:r>
      <w:r w:rsidRPr="00E02530">
        <w:rPr>
          <w:rFonts w:ascii="Times New Roman" w:hAnsi="Times New Roman"/>
          <w:sz w:val="24"/>
          <w:szCs w:val="24"/>
          <w:lang w:eastAsia="en-US"/>
        </w:rPr>
        <w:t>having the capacity of any of the listed ones, under the law of another state</w:t>
      </w:r>
      <w:r w:rsidRPr="00E02530">
        <w:rPr>
          <w:rFonts w:ascii="Times New Roman" w:hAnsi="Times New Roman"/>
          <w:sz w:val="24"/>
          <w:szCs w:val="24"/>
          <w:lang w:eastAsia="en-US"/>
        </w:rPr>
        <w:t>”</w:t>
      </w:r>
      <w:r w:rsidRPr="00E02530">
        <w:rPr>
          <w:rFonts w:ascii="Times New Roman" w:hAnsi="Times New Roman"/>
          <w:sz w:val="24"/>
          <w:szCs w:val="24"/>
          <w:lang w:eastAsia="en-US"/>
        </w:rPr>
        <w:t>. As a result, there is now no doubt that banks and other entities having the characteristics of Professional Counterparties as per the Act</w:t>
      </w:r>
      <w:r w:rsidRPr="00E02530">
        <w:rPr>
          <w:rFonts w:ascii="Times New Roman" w:hAnsi="Times New Roman"/>
          <w:sz w:val="24"/>
          <w:szCs w:val="24"/>
          <w:lang w:eastAsia="en-US"/>
        </w:rPr>
        <w:t>’</w:t>
      </w:r>
      <w:r w:rsidRPr="00E02530">
        <w:rPr>
          <w:rFonts w:ascii="Times New Roman" w:hAnsi="Times New Roman"/>
          <w:sz w:val="24"/>
          <w:szCs w:val="24"/>
          <w:lang w:eastAsia="en-US"/>
        </w:rPr>
        <w:t>s statutory list under the law of a non-EEA state are eligible.</w:t>
      </w:r>
    </w:p>
    <w:p w14:paraId="2C89A00C"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7C3F2D0B" w14:textId="0AD6E6B4"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Furthermore, the Act makes other </w:t>
      </w:r>
      <w:r w:rsidRPr="00E02530">
        <w:rPr>
          <w:rFonts w:ascii="Times New Roman" w:hAnsi="Times New Roman"/>
          <w:sz w:val="24"/>
          <w:szCs w:val="24"/>
          <w:lang w:eastAsia="en-US"/>
        </w:rPr>
        <w:t>“</w:t>
      </w:r>
      <w:r w:rsidRPr="00E02530">
        <w:rPr>
          <w:rFonts w:ascii="Times New Roman" w:hAnsi="Times New Roman"/>
          <w:sz w:val="24"/>
          <w:szCs w:val="24"/>
          <w:lang w:eastAsia="en-US"/>
        </w:rPr>
        <w:t>legal persons</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eligible if they deal with any of the Professional Counterparties.</w:t>
      </w:r>
    </w:p>
    <w:p w14:paraId="715D4B93"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1EAFE6ED" w14:textId="43D5999C"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The </w:t>
      </w:r>
      <w:bookmarkStart w:id="6" w:name="_Hlk204885495"/>
      <w:r w:rsidRPr="00E02530">
        <w:rPr>
          <w:rFonts w:ascii="Times New Roman" w:hAnsi="Times New Roman"/>
          <w:sz w:val="24"/>
          <w:szCs w:val="24"/>
          <w:lang w:eastAsia="en-US"/>
        </w:rPr>
        <w:t xml:space="preserve">personal scope for </w:t>
      </w:r>
      <w:bookmarkEnd w:id="6"/>
      <w:r w:rsidRPr="00E02530">
        <w:rPr>
          <w:rFonts w:ascii="Times New Roman" w:hAnsi="Times New Roman"/>
          <w:sz w:val="24"/>
          <w:szCs w:val="24"/>
          <w:lang w:eastAsia="en-US"/>
        </w:rPr>
        <w:t xml:space="preserve">close-out netting arrangements substantially mirrors the personal scope for financial collateral arrangements. However, for the purposes of close-out netting, the list is extended to include </w:t>
      </w:r>
      <w:r w:rsidRPr="00E02530">
        <w:rPr>
          <w:rFonts w:ascii="Times New Roman" w:hAnsi="Times New Roman"/>
          <w:i/>
          <w:iCs/>
          <w:sz w:val="24"/>
          <w:szCs w:val="24"/>
          <w:lang w:eastAsia="en-US"/>
        </w:rPr>
        <w:t>inter alia</w:t>
      </w:r>
      <w:r w:rsidRPr="00E02530">
        <w:rPr>
          <w:rFonts w:ascii="Times New Roman" w:hAnsi="Times New Roman"/>
          <w:sz w:val="24"/>
          <w:szCs w:val="24"/>
          <w:lang w:eastAsia="en-US"/>
        </w:rPr>
        <w:t xml:space="preserve"> persons allowed by law to deal in eligible</w:t>
      </w:r>
      <w:r w:rsidR="00E02530" w:rsidRPr="00E02530">
        <w:rPr>
          <w:rFonts w:ascii="Times New Roman" w:hAnsi="Times New Roman"/>
          <w:sz w:val="24"/>
          <w:szCs w:val="24"/>
          <w:lang w:eastAsia="en-US"/>
        </w:rPr>
        <w:t xml:space="preserve"> </w:t>
      </w:r>
      <w:r w:rsidRPr="00E02530">
        <w:rPr>
          <w:rFonts w:ascii="Times New Roman" w:hAnsi="Times New Roman"/>
          <w:sz w:val="24"/>
          <w:szCs w:val="24"/>
          <w:lang w:eastAsia="en-US"/>
        </w:rPr>
        <w:t xml:space="preserve">Netting Financial Obligations . Given that the latter term is defined primarily by reference to MiFID financial instruments, the MiFID rules regarding who is eligible to deal in </w:t>
      </w:r>
      <w:bookmarkStart w:id="7" w:name="_Hlk204890190"/>
      <w:r w:rsidRPr="00E02530">
        <w:rPr>
          <w:rFonts w:ascii="Times New Roman" w:hAnsi="Times New Roman"/>
          <w:sz w:val="24"/>
          <w:szCs w:val="24"/>
          <w:lang w:eastAsia="en-US"/>
        </w:rPr>
        <w:t xml:space="preserve">MiFID financial instruments </w:t>
      </w:r>
      <w:bookmarkEnd w:id="7"/>
      <w:r w:rsidRPr="00E02530">
        <w:rPr>
          <w:rFonts w:ascii="Times New Roman" w:hAnsi="Times New Roman"/>
          <w:sz w:val="24"/>
          <w:szCs w:val="24"/>
          <w:lang w:eastAsia="en-US"/>
        </w:rPr>
        <w:t xml:space="preserve">– including exceptions allowing dealings without a licence– should be primarily considered. The purpose behind that personal scope extension is to introduce specific scenarios (mainly due to MiFID exceptions for non-regulated corporate entities to deal in MiFID financial instruments without a licence) involving </w:t>
      </w:r>
      <w:r w:rsidRPr="00E02530">
        <w:rPr>
          <w:rFonts w:ascii="Times New Roman" w:hAnsi="Times New Roman"/>
          <w:sz w:val="24"/>
          <w:szCs w:val="24"/>
          <w:lang w:eastAsia="en-US"/>
        </w:rPr>
        <w:t>“</w:t>
      </w:r>
      <w:r w:rsidRPr="00E02530">
        <w:rPr>
          <w:rFonts w:ascii="Times New Roman" w:hAnsi="Times New Roman"/>
          <w:sz w:val="24"/>
          <w:szCs w:val="24"/>
          <w:lang w:eastAsia="en-US"/>
        </w:rPr>
        <w:t>corporate-to-corporate</w:t>
      </w:r>
      <w:r w:rsidRPr="00E02530">
        <w:rPr>
          <w:rFonts w:ascii="Times New Roman" w:hAnsi="Times New Roman"/>
          <w:sz w:val="24"/>
          <w:szCs w:val="24"/>
          <w:lang w:eastAsia="en-US"/>
        </w:rPr>
        <w:t>”</w:t>
      </w:r>
      <w:r w:rsidRPr="00E02530">
        <w:rPr>
          <w:rFonts w:ascii="Times New Roman" w:hAnsi="Times New Roman"/>
          <w:sz w:val="24"/>
          <w:szCs w:val="24"/>
          <w:lang w:eastAsia="en-US"/>
        </w:rPr>
        <w:t xml:space="preserve"> derivatives transactions or MiFID securities deals under the close-out netting protection of the Act.</w:t>
      </w:r>
    </w:p>
    <w:p w14:paraId="7D75E8DE"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5D3AC32D" w14:textId="3D2B14DE" w:rsidR="004A7700" w:rsidRPr="00E02530" w:rsidRDefault="004A7700" w:rsidP="004A7700">
      <w:pPr>
        <w:keepNext/>
        <w:keepLines/>
        <w:tabs>
          <w:tab w:val="num" w:pos="680"/>
        </w:tabs>
        <w:suppressAutoHyphens/>
        <w:spacing w:after="0"/>
        <w:ind w:left="680" w:hanging="680"/>
        <w:jc w:val="left"/>
        <w:outlineLvl w:val="0"/>
        <w:rPr>
          <w:rFonts w:ascii="Times New Roman" w:hAnsi="Times New Roman"/>
          <w:i/>
          <w:iCs/>
          <w:sz w:val="24"/>
          <w:szCs w:val="24"/>
        </w:rPr>
      </w:pPr>
      <w:r w:rsidRPr="00E02530">
        <w:rPr>
          <w:rFonts w:ascii="Times New Roman" w:hAnsi="Times New Roman"/>
          <w:i/>
          <w:iCs/>
          <w:sz w:val="24"/>
          <w:szCs w:val="24"/>
        </w:rPr>
        <w:t>Conflict</w:t>
      </w:r>
      <w:r w:rsidRPr="00E02530">
        <w:rPr>
          <w:rFonts w:ascii="Times New Roman" w:hAnsi="Times New Roman"/>
          <w:i/>
          <w:iCs/>
          <w:sz w:val="24"/>
          <w:szCs w:val="24"/>
          <w:lang w:eastAsia="en-US"/>
        </w:rPr>
        <w:t xml:space="preserve"> of laws netting rule</w:t>
      </w:r>
    </w:p>
    <w:p w14:paraId="13D4281F"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325E6E37" w14:textId="4D13DAE5"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25 WUD is transposed verbatim in Bulgaria under the special domestic laws regulating credit institutions and MiFID investment firms, and those </w:t>
      </w:r>
      <w:r w:rsidRPr="00E02530">
        <w:rPr>
          <w:rFonts w:ascii="Times New Roman" w:hAnsi="Times New Roman"/>
          <w:sz w:val="24"/>
          <w:szCs w:val="24"/>
        </w:rPr>
        <w:t>transpositions</w:t>
      </w:r>
      <w:r w:rsidRPr="00E02530">
        <w:rPr>
          <w:rFonts w:ascii="Times New Roman" w:hAnsi="Times New Roman"/>
          <w:sz w:val="24"/>
          <w:szCs w:val="24"/>
          <w:lang w:eastAsia="en-US"/>
        </w:rPr>
        <w:t xml:space="preserve"> are not affected by the Act.</w:t>
      </w:r>
    </w:p>
    <w:p w14:paraId="0DC14E6C"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01EBA9CE"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lastRenderedPageBreak/>
        <w:t xml:space="preserve">The Amendment replicates these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25 WUD transpositions, establishing a new, separate rule applicable to matters under the Act by the following wording:</w:t>
      </w:r>
    </w:p>
    <w:p w14:paraId="04F2BA6C"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6BB6F7CA" w14:textId="6EE685CB" w:rsidR="004A7700" w:rsidRPr="00E02530" w:rsidRDefault="004A7700" w:rsidP="004A7700">
      <w:pPr>
        <w:numPr>
          <w:ilvl w:val="1"/>
          <w:numId w:val="0"/>
        </w:numPr>
        <w:tabs>
          <w:tab w:val="num" w:pos="680"/>
        </w:tabs>
        <w:suppressAutoHyphens/>
        <w:spacing w:after="0"/>
        <w:ind w:left="680" w:hanging="680"/>
        <w:outlineLvl w:val="1"/>
        <w:rPr>
          <w:rFonts w:ascii="Times New Roman" w:hAnsi="Times New Roman"/>
          <w:sz w:val="24"/>
          <w:szCs w:val="24"/>
          <w:lang w:eastAsia="en-US"/>
        </w:rPr>
      </w:pPr>
      <w:r w:rsidRPr="00E02530">
        <w:rPr>
          <w:rFonts w:ascii="Times New Roman" w:hAnsi="Times New Roman"/>
          <w:sz w:val="24"/>
          <w:szCs w:val="24"/>
          <w:lang w:eastAsia="en-US"/>
        </w:rPr>
        <w:tab/>
        <w:t>“</w:t>
      </w:r>
      <w:r w:rsidRPr="00E02530">
        <w:rPr>
          <w:rFonts w:ascii="Times New Roman" w:hAnsi="Times New Roman"/>
          <w:sz w:val="24"/>
          <w:szCs w:val="24"/>
          <w:lang w:eastAsia="en-US"/>
        </w:rPr>
        <w:t xml:space="preserve">upon application of </w:t>
      </w:r>
      <w:bookmarkStart w:id="8" w:name="_Hlk204856943"/>
      <w:r w:rsidRPr="00E02530">
        <w:rPr>
          <w:rFonts w:ascii="Times New Roman" w:hAnsi="Times New Roman"/>
          <w:sz w:val="24"/>
          <w:szCs w:val="24"/>
          <w:lang w:eastAsia="en-US"/>
        </w:rPr>
        <w:t>reorganisation measures or the commencement of winding-up proceedings</w:t>
      </w:r>
      <w:bookmarkEnd w:id="8"/>
      <w:r w:rsidRPr="00E02530">
        <w:rPr>
          <w:rFonts w:ascii="Times New Roman" w:hAnsi="Times New Roman"/>
          <w:sz w:val="24"/>
          <w:szCs w:val="24"/>
          <w:lang w:eastAsia="en-US"/>
        </w:rPr>
        <w:t xml:space="preserve"> in Bulgaria the law governing close-out netting shall be the law governing the agreement</w:t>
      </w:r>
      <w:r w:rsidRPr="00E02530">
        <w:rPr>
          <w:rFonts w:ascii="Times New Roman" w:hAnsi="Times New Roman"/>
          <w:sz w:val="24"/>
          <w:szCs w:val="24"/>
          <w:lang w:eastAsia="en-US"/>
        </w:rPr>
        <w:t>”</w:t>
      </w:r>
      <w:r w:rsidRPr="00E02530">
        <w:rPr>
          <w:rFonts w:ascii="Times New Roman" w:hAnsi="Times New Roman"/>
          <w:sz w:val="24"/>
          <w:szCs w:val="24"/>
          <w:lang w:eastAsia="en-US"/>
        </w:rPr>
        <w:t>.</w:t>
      </w:r>
    </w:p>
    <w:p w14:paraId="36193538"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654CE8FB" w14:textId="1CA79E4E"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In addition, the scope of that new rule is clarified by expressly covering specific aspects where most importantly insolvency avoidance rules under </w:t>
      </w:r>
      <w:r w:rsidRPr="00E02530">
        <w:rPr>
          <w:rFonts w:ascii="Times New Roman" w:hAnsi="Times New Roman"/>
          <w:i/>
          <w:iCs/>
          <w:sz w:val="24"/>
          <w:szCs w:val="24"/>
          <w:lang w:eastAsia="en-US"/>
        </w:rPr>
        <w:t>lex contractus</w:t>
      </w:r>
      <w:r w:rsidRPr="00E02530">
        <w:rPr>
          <w:rFonts w:ascii="Times New Roman" w:hAnsi="Times New Roman"/>
          <w:sz w:val="24"/>
          <w:szCs w:val="24"/>
          <w:lang w:eastAsia="en-US"/>
        </w:rPr>
        <w:t xml:space="preserve"> will apply instead of the relevant Bulgarian laws. This last clarification merits some special attention.</w:t>
      </w:r>
    </w:p>
    <w:p w14:paraId="6570DCFE"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15731FFA"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As the new rule in the Act mirrors the </w:t>
      </w:r>
      <w:bookmarkStart w:id="9" w:name="_Hlk204933822"/>
      <w:r w:rsidRPr="00E02530">
        <w:rPr>
          <w:rFonts w:ascii="Times New Roman" w:hAnsi="Times New Roman"/>
          <w:sz w:val="24"/>
          <w:szCs w:val="24"/>
          <w:lang w:eastAsia="en-US"/>
        </w:rPr>
        <w:t xml:space="preserve">transposition of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25 WUD for credit institutions </w:t>
      </w:r>
      <w:bookmarkEnd w:id="9"/>
      <w:r w:rsidRPr="00E02530">
        <w:rPr>
          <w:rFonts w:ascii="Times New Roman" w:hAnsi="Times New Roman"/>
          <w:sz w:val="24"/>
          <w:szCs w:val="24"/>
          <w:lang w:eastAsia="en-US"/>
        </w:rPr>
        <w:t xml:space="preserve">and MiFID investment firms (being particularly important for legal opinions), the above clarifications may in fact support a </w:t>
      </w:r>
      <w:r w:rsidRPr="00E02530">
        <w:rPr>
          <w:rFonts w:ascii="Times New Roman" w:hAnsi="Times New Roman"/>
          <w:sz w:val="24"/>
          <w:szCs w:val="24"/>
        </w:rPr>
        <w:t>broader</w:t>
      </w:r>
      <w:r w:rsidRPr="00E02530">
        <w:rPr>
          <w:rFonts w:ascii="Times New Roman" w:hAnsi="Times New Roman"/>
          <w:sz w:val="24"/>
          <w:szCs w:val="24"/>
          <w:lang w:eastAsia="en-US"/>
        </w:rPr>
        <w:t xml:space="preserve"> interpretation of the transposition rules for credit institutions and investment firms. This is further reinforced by</w:t>
      </w:r>
      <w:r w:rsidRPr="00E02530">
        <w:rPr>
          <w:rFonts w:ascii="Times New Roman" w:hAnsi="Times New Roman"/>
          <w:sz w:val="24"/>
          <w:szCs w:val="24"/>
          <w:lang w:eastAsia="en-US"/>
        </w:rPr>
        <w:t>:</w:t>
      </w:r>
    </w:p>
    <w:p w14:paraId="659FE519" w14:textId="77777777"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p>
    <w:p w14:paraId="1A79DC5B" w14:textId="500742D5" w:rsidR="004A7700" w:rsidRPr="00E02530" w:rsidRDefault="004A7700" w:rsidP="004A7700">
      <w:pPr>
        <w:pStyle w:val="ListParagraph"/>
        <w:numPr>
          <w:ilvl w:val="0"/>
          <w:numId w:val="14"/>
        </w:numPr>
        <w:tabs>
          <w:tab w:val="num" w:pos="680"/>
        </w:tabs>
        <w:suppressAutoHyphens/>
        <w:spacing w:after="0"/>
        <w:jc w:val="both"/>
        <w:outlineLvl w:val="1"/>
        <w:rPr>
          <w:rFonts w:ascii="Times New Roman" w:hAnsi="Times New Roman"/>
          <w:sz w:val="24"/>
          <w:szCs w:val="24"/>
          <w:lang w:val="en-GB"/>
        </w:rPr>
      </w:pPr>
      <w:r w:rsidRPr="00E02530">
        <w:rPr>
          <w:rFonts w:ascii="Times New Roman" w:hAnsi="Times New Roman"/>
          <w:sz w:val="24"/>
          <w:szCs w:val="24"/>
          <w:lang w:val="en-GB"/>
        </w:rPr>
        <w:t xml:space="preserve">the history of </w:t>
      </w:r>
      <w:r w:rsidRPr="00E02530">
        <w:rPr>
          <w:rFonts w:ascii="Times New Roman" w:hAnsi="Times New Roman"/>
          <w:sz w:val="24"/>
          <w:szCs w:val="24"/>
          <w:lang w:val="en-GB"/>
        </w:rPr>
        <w:t xml:space="preserve">Article </w:t>
      </w:r>
      <w:r w:rsidRPr="00E02530">
        <w:rPr>
          <w:rFonts w:ascii="Times New Roman" w:hAnsi="Times New Roman"/>
          <w:sz w:val="24"/>
          <w:szCs w:val="24"/>
          <w:lang w:val="en-GB"/>
        </w:rPr>
        <w:t xml:space="preserve">25 WUD at the EU level, </w:t>
      </w:r>
      <w:bookmarkStart w:id="10" w:name="_Hlk204934019"/>
      <w:r w:rsidRPr="00E02530">
        <w:rPr>
          <w:rFonts w:ascii="Times New Roman" w:hAnsi="Times New Roman"/>
          <w:sz w:val="24"/>
          <w:szCs w:val="24"/>
          <w:lang w:val="en-GB"/>
        </w:rPr>
        <w:t>discussed in the next paragraph</w:t>
      </w:r>
      <w:bookmarkEnd w:id="10"/>
      <w:r w:rsidRPr="00E02530">
        <w:rPr>
          <w:rFonts w:ascii="Times New Roman" w:hAnsi="Times New Roman"/>
          <w:sz w:val="24"/>
          <w:szCs w:val="24"/>
          <w:lang w:val="en-GB"/>
        </w:rPr>
        <w:t>, and</w:t>
      </w:r>
    </w:p>
    <w:p w14:paraId="3E7E0ABB" w14:textId="77777777" w:rsidR="004A7700" w:rsidRPr="00E02530" w:rsidRDefault="004A7700" w:rsidP="004A7700">
      <w:pPr>
        <w:pStyle w:val="ListParagraph"/>
        <w:numPr>
          <w:ilvl w:val="0"/>
          <w:numId w:val="14"/>
        </w:numPr>
        <w:tabs>
          <w:tab w:val="num" w:pos="680"/>
        </w:tabs>
        <w:suppressAutoHyphens/>
        <w:spacing w:after="0"/>
        <w:jc w:val="both"/>
        <w:outlineLvl w:val="1"/>
        <w:rPr>
          <w:rFonts w:ascii="Times New Roman" w:hAnsi="Times New Roman"/>
          <w:sz w:val="24"/>
          <w:szCs w:val="24"/>
          <w:lang w:val="en-GB"/>
        </w:rPr>
      </w:pPr>
      <w:r w:rsidRPr="00E02530">
        <w:rPr>
          <w:rFonts w:ascii="Times New Roman" w:hAnsi="Times New Roman"/>
          <w:sz w:val="24"/>
          <w:szCs w:val="24"/>
          <w:lang w:val="en-GB"/>
        </w:rPr>
        <w:t xml:space="preserve">the prior acceptance of a broader interpretation of </w:t>
      </w:r>
      <w:r w:rsidRPr="00E02530">
        <w:rPr>
          <w:rFonts w:ascii="Times New Roman" w:hAnsi="Times New Roman"/>
          <w:sz w:val="24"/>
          <w:szCs w:val="24"/>
          <w:lang w:val="en-GB"/>
        </w:rPr>
        <w:t xml:space="preserve">Article </w:t>
      </w:r>
      <w:r w:rsidRPr="00E02530">
        <w:rPr>
          <w:rFonts w:ascii="Times New Roman" w:hAnsi="Times New Roman"/>
          <w:sz w:val="24"/>
          <w:szCs w:val="24"/>
          <w:lang w:val="en-GB"/>
        </w:rPr>
        <w:t>25 WUD by Bulgarian authorities, reviewed in the paragraph following that.</w:t>
      </w:r>
    </w:p>
    <w:p w14:paraId="174A5C5C" w14:textId="77777777" w:rsidR="004A7700" w:rsidRPr="00E02530" w:rsidRDefault="004A7700" w:rsidP="004A7700">
      <w:pPr>
        <w:tabs>
          <w:tab w:val="num" w:pos="680"/>
        </w:tabs>
        <w:suppressAutoHyphens/>
        <w:spacing w:after="0"/>
        <w:outlineLvl w:val="1"/>
        <w:rPr>
          <w:rFonts w:ascii="Times New Roman" w:hAnsi="Times New Roman"/>
          <w:sz w:val="24"/>
          <w:szCs w:val="24"/>
        </w:rPr>
      </w:pPr>
    </w:p>
    <w:p w14:paraId="70C5D9B7" w14:textId="75DFCB9E" w:rsidR="00E02530" w:rsidRPr="00E02530" w:rsidRDefault="004A7700" w:rsidP="004A7700">
      <w:pPr>
        <w:tabs>
          <w:tab w:val="num" w:pos="680"/>
        </w:tabs>
        <w:suppressAutoHyphens/>
        <w:spacing w:after="0"/>
        <w:outlineLvl w:val="1"/>
        <w:rPr>
          <w:rFonts w:ascii="Times New Roman" w:hAnsi="Times New Roman"/>
          <w:sz w:val="24"/>
          <w:szCs w:val="24"/>
        </w:rPr>
      </w:pPr>
      <w:r w:rsidRPr="00E02530">
        <w:rPr>
          <w:rFonts w:ascii="Times New Roman" w:hAnsi="Times New Roman"/>
          <w:sz w:val="24"/>
          <w:szCs w:val="24"/>
        </w:rPr>
        <w:t xml:space="preserve">In terms of wording, </w:t>
      </w:r>
      <w:r w:rsidRPr="00E02530">
        <w:rPr>
          <w:rFonts w:ascii="Times New Roman" w:hAnsi="Times New Roman"/>
          <w:sz w:val="24"/>
          <w:szCs w:val="24"/>
        </w:rPr>
        <w:t xml:space="preserve">Article </w:t>
      </w:r>
      <w:r w:rsidRPr="00E02530">
        <w:rPr>
          <w:rFonts w:ascii="Times New Roman" w:hAnsi="Times New Roman"/>
          <w:sz w:val="24"/>
          <w:szCs w:val="24"/>
        </w:rPr>
        <w:t xml:space="preserve">25 WUD (and </w:t>
      </w:r>
      <w:r w:rsidRPr="00E02530">
        <w:rPr>
          <w:rFonts w:ascii="Times New Roman" w:hAnsi="Times New Roman"/>
          <w:sz w:val="24"/>
          <w:szCs w:val="24"/>
        </w:rPr>
        <w:t xml:space="preserve">Article </w:t>
      </w:r>
      <w:r w:rsidRPr="00E02530">
        <w:rPr>
          <w:rFonts w:ascii="Times New Roman" w:hAnsi="Times New Roman"/>
          <w:sz w:val="24"/>
          <w:szCs w:val="24"/>
        </w:rPr>
        <w:t xml:space="preserve">26 on repurchase agreements as well as </w:t>
      </w:r>
      <w:r w:rsidRPr="00E02530">
        <w:rPr>
          <w:rFonts w:ascii="Times New Roman" w:hAnsi="Times New Roman"/>
          <w:sz w:val="24"/>
          <w:szCs w:val="24"/>
        </w:rPr>
        <w:t xml:space="preserve">Article </w:t>
      </w:r>
      <w:r w:rsidRPr="00E02530">
        <w:rPr>
          <w:rFonts w:ascii="Times New Roman" w:hAnsi="Times New Roman"/>
          <w:sz w:val="24"/>
          <w:szCs w:val="24"/>
        </w:rPr>
        <w:t xml:space="preserve">27 on regulated markets) have no analogue in the EU Insolvency Regulation (EU) 2015/848 </w:t>
      </w:r>
      <w:bookmarkStart w:id="11" w:name="_Hlk204898688"/>
      <w:r w:rsidRPr="00E02530">
        <w:rPr>
          <w:rFonts w:ascii="Times New Roman" w:hAnsi="Times New Roman"/>
          <w:sz w:val="24"/>
          <w:szCs w:val="24"/>
        </w:rPr>
        <w:t xml:space="preserve">(the </w:t>
      </w:r>
      <w:r w:rsidRPr="00E02530">
        <w:rPr>
          <w:rFonts w:ascii="Times New Roman" w:hAnsi="Times New Roman"/>
          <w:sz w:val="24"/>
          <w:szCs w:val="24"/>
        </w:rPr>
        <w:t>“</w:t>
      </w:r>
      <w:r w:rsidRPr="00E02530">
        <w:rPr>
          <w:rFonts w:ascii="Times New Roman" w:hAnsi="Times New Roman"/>
          <w:b/>
          <w:bCs/>
          <w:sz w:val="24"/>
          <w:szCs w:val="24"/>
        </w:rPr>
        <w:t>EIR</w:t>
      </w:r>
      <w:r w:rsidRPr="00E02530">
        <w:rPr>
          <w:rFonts w:ascii="Times New Roman" w:hAnsi="Times New Roman"/>
          <w:sz w:val="24"/>
          <w:szCs w:val="24"/>
        </w:rPr>
        <w:t>”</w:t>
      </w:r>
      <w:r w:rsidRPr="00E02530">
        <w:rPr>
          <w:rFonts w:ascii="Times New Roman" w:hAnsi="Times New Roman"/>
          <w:sz w:val="24"/>
          <w:szCs w:val="24"/>
        </w:rPr>
        <w:t>)</w:t>
      </w:r>
      <w:bookmarkEnd w:id="11"/>
      <w:r w:rsidRPr="00E02530">
        <w:rPr>
          <w:rFonts w:ascii="Times New Roman" w:hAnsi="Times New Roman"/>
          <w:sz w:val="24"/>
          <w:szCs w:val="24"/>
        </w:rPr>
        <w:t xml:space="preserve">. Its </w:t>
      </w:r>
      <w:r w:rsidRPr="00E02530">
        <w:rPr>
          <w:rFonts w:ascii="Times New Roman" w:hAnsi="Times New Roman"/>
          <w:sz w:val="24"/>
          <w:szCs w:val="24"/>
        </w:rPr>
        <w:t>“</w:t>
      </w:r>
      <w:r w:rsidRPr="00E02530">
        <w:rPr>
          <w:rFonts w:ascii="Times New Roman" w:hAnsi="Times New Roman"/>
          <w:sz w:val="24"/>
          <w:szCs w:val="24"/>
        </w:rPr>
        <w:t>unusual</w:t>
      </w:r>
      <w:r w:rsidRPr="00E02530">
        <w:rPr>
          <w:rFonts w:ascii="Times New Roman" w:hAnsi="Times New Roman"/>
          <w:sz w:val="24"/>
          <w:szCs w:val="24"/>
        </w:rPr>
        <w:t>”</w:t>
      </w:r>
      <w:r w:rsidRPr="00E02530">
        <w:rPr>
          <w:rFonts w:ascii="Times New Roman" w:hAnsi="Times New Roman"/>
          <w:sz w:val="24"/>
          <w:szCs w:val="24"/>
        </w:rPr>
        <w:t xml:space="preserve"> wording therefore results in various interpretations (summarised in several public papers of ISDA) that are either too narrow (e.g. not being an exception to </w:t>
      </w:r>
      <w:r w:rsidRPr="00E02530">
        <w:rPr>
          <w:rFonts w:ascii="Times New Roman" w:hAnsi="Times New Roman"/>
          <w:i/>
          <w:iCs/>
          <w:sz w:val="24"/>
          <w:szCs w:val="24"/>
        </w:rPr>
        <w:t>lex fori concursus</w:t>
      </w:r>
      <w:r w:rsidRPr="00E02530">
        <w:rPr>
          <w:rFonts w:ascii="Times New Roman" w:hAnsi="Times New Roman"/>
          <w:sz w:val="24"/>
          <w:szCs w:val="24"/>
        </w:rPr>
        <w:t xml:space="preserve"> at all, which contradicts </w:t>
      </w:r>
      <w:r w:rsidRPr="00E02530">
        <w:rPr>
          <w:rFonts w:ascii="Times New Roman" w:hAnsi="Times New Roman"/>
          <w:bCs/>
          <w:sz w:val="24"/>
          <w:szCs w:val="24"/>
        </w:rPr>
        <w:t>Recitals 23 and 24</w:t>
      </w:r>
      <w:r w:rsidR="00E02530" w:rsidRPr="00E02530">
        <w:rPr>
          <w:rFonts w:ascii="Times New Roman" w:hAnsi="Times New Roman"/>
          <w:bCs/>
          <w:sz w:val="24"/>
          <w:szCs w:val="24"/>
        </w:rPr>
        <w:t xml:space="preserve"> </w:t>
      </w:r>
      <w:r w:rsidRPr="00E02530">
        <w:rPr>
          <w:rFonts w:ascii="Times New Roman" w:hAnsi="Times New Roman"/>
          <w:bCs/>
          <w:sz w:val="24"/>
          <w:szCs w:val="24"/>
        </w:rPr>
        <w:t xml:space="preserve">of </w:t>
      </w:r>
      <w:r w:rsidRPr="00E02530">
        <w:rPr>
          <w:rFonts w:ascii="Times New Roman" w:hAnsi="Times New Roman"/>
          <w:sz w:val="24"/>
          <w:szCs w:val="24"/>
        </w:rPr>
        <w:t>the WUD</w:t>
      </w:r>
      <w:r w:rsidRPr="00E02530">
        <w:rPr>
          <w:rFonts w:ascii="Times New Roman" w:hAnsi="Times New Roman"/>
          <w:sz w:val="24"/>
          <w:szCs w:val="24"/>
        </w:rPr>
        <w:t>’</w:t>
      </w:r>
      <w:r w:rsidRPr="00E02530">
        <w:rPr>
          <w:rFonts w:ascii="Times New Roman" w:hAnsi="Times New Roman"/>
          <w:sz w:val="24"/>
          <w:szCs w:val="24"/>
        </w:rPr>
        <w:t xml:space="preserve">s Preamble) or too broad (e.g. displacing any otherwise applicable insolvency law – rendering </w:t>
      </w:r>
      <w:r w:rsidRPr="00E02530">
        <w:rPr>
          <w:rFonts w:ascii="Times New Roman" w:hAnsi="Times New Roman"/>
          <w:sz w:val="24"/>
          <w:szCs w:val="24"/>
        </w:rPr>
        <w:t xml:space="preserve">Article </w:t>
      </w:r>
      <w:r w:rsidRPr="00E02530">
        <w:rPr>
          <w:rFonts w:ascii="Times New Roman" w:hAnsi="Times New Roman"/>
          <w:sz w:val="24"/>
          <w:szCs w:val="24"/>
        </w:rPr>
        <w:t xml:space="preserve">25 WUD a substantive rule which, however, is incompatible with the structure of the EU substantive rules ringfencing certain relations from the effects of insolvency as the </w:t>
      </w:r>
      <w:r w:rsidRPr="00E02530">
        <w:rPr>
          <w:rFonts w:ascii="Times New Roman" w:hAnsi="Times New Roman"/>
          <w:i/>
          <w:iCs/>
          <w:sz w:val="24"/>
          <w:szCs w:val="24"/>
        </w:rPr>
        <w:t xml:space="preserve">rights in rem </w:t>
      </w:r>
      <w:r w:rsidRPr="00E02530">
        <w:rPr>
          <w:rFonts w:ascii="Times New Roman" w:hAnsi="Times New Roman"/>
          <w:sz w:val="24"/>
          <w:szCs w:val="24"/>
        </w:rPr>
        <w:t>rules in the WUD and EIR).</w:t>
      </w:r>
    </w:p>
    <w:p w14:paraId="7AE699B4" w14:textId="77777777" w:rsidR="00E02530" w:rsidRPr="00E02530" w:rsidRDefault="00E02530" w:rsidP="004A7700">
      <w:pPr>
        <w:tabs>
          <w:tab w:val="num" w:pos="680"/>
        </w:tabs>
        <w:suppressAutoHyphens/>
        <w:spacing w:after="0"/>
        <w:outlineLvl w:val="1"/>
        <w:rPr>
          <w:rFonts w:ascii="Times New Roman" w:hAnsi="Times New Roman"/>
          <w:sz w:val="24"/>
          <w:szCs w:val="24"/>
        </w:rPr>
      </w:pPr>
    </w:p>
    <w:p w14:paraId="65FE7516" w14:textId="25936735" w:rsidR="004A7700" w:rsidRPr="00E02530" w:rsidRDefault="004A7700" w:rsidP="004A7700">
      <w:pPr>
        <w:tabs>
          <w:tab w:val="num" w:pos="680"/>
        </w:tabs>
        <w:suppressAutoHyphens/>
        <w:spacing w:after="0"/>
        <w:outlineLvl w:val="1"/>
        <w:rPr>
          <w:rFonts w:ascii="Times New Roman" w:hAnsi="Times New Roman"/>
          <w:sz w:val="24"/>
          <w:szCs w:val="24"/>
        </w:rPr>
      </w:pPr>
      <w:r w:rsidRPr="00E02530">
        <w:rPr>
          <w:rFonts w:ascii="Times New Roman" w:hAnsi="Times New Roman"/>
          <w:sz w:val="24"/>
          <w:szCs w:val="24"/>
        </w:rPr>
        <w:t xml:space="preserve">The history of Articles 25, 26 and 27 of the WUD – whose relevance when being adopted was discussed exclusively in the context of the EU Settlement Finality Directive (98/26/EC) (the </w:t>
      </w:r>
      <w:r w:rsidRPr="00E02530">
        <w:rPr>
          <w:rFonts w:ascii="Times New Roman" w:hAnsi="Times New Roman"/>
          <w:sz w:val="24"/>
          <w:szCs w:val="24"/>
        </w:rPr>
        <w:t>“</w:t>
      </w:r>
      <w:r w:rsidRPr="00E02530">
        <w:rPr>
          <w:rFonts w:ascii="Times New Roman" w:hAnsi="Times New Roman"/>
          <w:b/>
          <w:bCs/>
          <w:sz w:val="24"/>
          <w:szCs w:val="24"/>
        </w:rPr>
        <w:t>SFD</w:t>
      </w:r>
      <w:r w:rsidRPr="00E02530">
        <w:rPr>
          <w:rFonts w:ascii="Times New Roman" w:hAnsi="Times New Roman"/>
          <w:sz w:val="24"/>
          <w:szCs w:val="24"/>
        </w:rPr>
        <w:t>”</w:t>
      </w:r>
      <w:r w:rsidRPr="00E02530">
        <w:rPr>
          <w:rFonts w:ascii="Times New Roman" w:hAnsi="Times New Roman"/>
          <w:sz w:val="24"/>
          <w:szCs w:val="24"/>
        </w:rPr>
        <w:t xml:space="preserve">) as displayed in the relevant preparatory documents – and their actual wording clearly show they are meant to follow </w:t>
      </w:r>
      <w:r w:rsidRPr="00E02530">
        <w:rPr>
          <w:rFonts w:ascii="Times New Roman" w:hAnsi="Times New Roman"/>
          <w:sz w:val="24"/>
          <w:szCs w:val="24"/>
        </w:rPr>
        <w:t xml:space="preserve">Article </w:t>
      </w:r>
      <w:r w:rsidRPr="00E02530">
        <w:rPr>
          <w:rFonts w:ascii="Times New Roman" w:hAnsi="Times New Roman"/>
          <w:sz w:val="24"/>
          <w:szCs w:val="24"/>
        </w:rPr>
        <w:t xml:space="preserve">8 SFD, which is also not worded as the classic insolvency conflict of laws rules under the EIR. </w:t>
      </w:r>
      <w:r w:rsidRPr="00E02530">
        <w:rPr>
          <w:rFonts w:ascii="Times New Roman" w:hAnsi="Times New Roman"/>
          <w:sz w:val="24"/>
          <w:szCs w:val="24"/>
        </w:rPr>
        <w:t xml:space="preserve">Article </w:t>
      </w:r>
      <w:r w:rsidRPr="00E02530">
        <w:rPr>
          <w:rFonts w:ascii="Times New Roman" w:hAnsi="Times New Roman"/>
          <w:sz w:val="24"/>
          <w:szCs w:val="24"/>
        </w:rPr>
        <w:t xml:space="preserve">8 SFD provides that </w:t>
      </w:r>
      <w:r w:rsidRPr="00E02530">
        <w:rPr>
          <w:rFonts w:ascii="Times New Roman" w:hAnsi="Times New Roman"/>
          <w:sz w:val="24"/>
          <w:szCs w:val="24"/>
        </w:rPr>
        <w:t>“</w:t>
      </w:r>
      <w:r w:rsidRPr="00E02530">
        <w:rPr>
          <w:rFonts w:ascii="Times New Roman" w:hAnsi="Times New Roman"/>
          <w:sz w:val="24"/>
          <w:szCs w:val="24"/>
        </w:rPr>
        <w:t>in the event of insolvency proceedings being opened against a participant in a system, the rights and obligations arising from, or in connection with, the participation of that participant will be determined by the law governing that system</w:t>
      </w:r>
      <w:r w:rsidRPr="00E02530">
        <w:rPr>
          <w:rFonts w:ascii="Times New Roman" w:hAnsi="Times New Roman"/>
          <w:sz w:val="24"/>
          <w:szCs w:val="24"/>
        </w:rPr>
        <w:t>”</w:t>
      </w:r>
      <w:r w:rsidRPr="00E02530">
        <w:rPr>
          <w:rFonts w:ascii="Times New Roman" w:hAnsi="Times New Roman"/>
          <w:sz w:val="24"/>
          <w:szCs w:val="24"/>
        </w:rPr>
        <w:t xml:space="preserve"> and as per Recital 17 of the SFD</w:t>
      </w:r>
      <w:r w:rsidRPr="00E02530">
        <w:rPr>
          <w:rFonts w:ascii="Times New Roman" w:hAnsi="Times New Roman"/>
          <w:sz w:val="24"/>
          <w:szCs w:val="24"/>
        </w:rPr>
        <w:t>’</w:t>
      </w:r>
      <w:r w:rsidRPr="00E02530">
        <w:rPr>
          <w:rFonts w:ascii="Times New Roman" w:hAnsi="Times New Roman"/>
          <w:sz w:val="24"/>
          <w:szCs w:val="24"/>
        </w:rPr>
        <w:t>s Preamble is</w:t>
      </w:r>
      <w:r w:rsidR="00E02530" w:rsidRPr="00E02530">
        <w:rPr>
          <w:rFonts w:ascii="Times New Roman" w:hAnsi="Times New Roman"/>
          <w:sz w:val="24"/>
          <w:szCs w:val="24"/>
        </w:rPr>
        <w:t xml:space="preserve"> </w:t>
      </w:r>
      <w:r w:rsidRPr="00E02530">
        <w:rPr>
          <w:rFonts w:ascii="Times New Roman" w:hAnsi="Times New Roman"/>
          <w:sz w:val="24"/>
          <w:szCs w:val="24"/>
        </w:rPr>
        <w:t xml:space="preserve">a construed as intended to replace all </w:t>
      </w:r>
      <w:bookmarkStart w:id="12" w:name="_Hlk205544315"/>
      <w:r w:rsidRPr="00E02530">
        <w:rPr>
          <w:rFonts w:ascii="Times New Roman" w:hAnsi="Times New Roman"/>
          <w:sz w:val="24"/>
          <w:szCs w:val="24"/>
        </w:rPr>
        <w:t xml:space="preserve">substantive </w:t>
      </w:r>
      <w:bookmarkEnd w:id="12"/>
      <w:r w:rsidRPr="00E02530">
        <w:rPr>
          <w:rFonts w:ascii="Times New Roman" w:hAnsi="Times New Roman"/>
          <w:sz w:val="24"/>
          <w:szCs w:val="24"/>
        </w:rPr>
        <w:t xml:space="preserve">insolvency </w:t>
      </w:r>
      <w:bookmarkStart w:id="13" w:name="_Hlk204933399"/>
      <w:r w:rsidRPr="00E02530">
        <w:rPr>
          <w:rFonts w:ascii="Times New Roman" w:hAnsi="Times New Roman"/>
          <w:sz w:val="24"/>
          <w:szCs w:val="24"/>
        </w:rPr>
        <w:t xml:space="preserve">laws (including avoidance rules) </w:t>
      </w:r>
      <w:bookmarkEnd w:id="13"/>
      <w:r w:rsidRPr="00E02530">
        <w:rPr>
          <w:rFonts w:ascii="Times New Roman" w:hAnsi="Times New Roman"/>
          <w:sz w:val="24"/>
          <w:szCs w:val="24"/>
        </w:rPr>
        <w:t xml:space="preserve">under </w:t>
      </w:r>
      <w:r w:rsidRPr="00E02530">
        <w:rPr>
          <w:rFonts w:ascii="Times New Roman" w:hAnsi="Times New Roman"/>
          <w:i/>
          <w:iCs/>
          <w:sz w:val="24"/>
          <w:szCs w:val="24"/>
        </w:rPr>
        <w:t>lex concursus</w:t>
      </w:r>
      <w:r w:rsidRPr="00E02530">
        <w:rPr>
          <w:rFonts w:ascii="Times New Roman" w:hAnsi="Times New Roman"/>
          <w:sz w:val="24"/>
          <w:szCs w:val="24"/>
        </w:rPr>
        <w:t xml:space="preserve"> with those under the law of the relevant system. So, </w:t>
      </w:r>
      <w:r w:rsidRPr="00E02530">
        <w:rPr>
          <w:rFonts w:ascii="Times New Roman" w:hAnsi="Times New Roman"/>
          <w:sz w:val="24"/>
          <w:szCs w:val="24"/>
        </w:rPr>
        <w:t xml:space="preserve">Article </w:t>
      </w:r>
      <w:r w:rsidRPr="00E02530">
        <w:rPr>
          <w:rFonts w:ascii="Times New Roman" w:hAnsi="Times New Roman"/>
          <w:sz w:val="24"/>
          <w:szCs w:val="24"/>
        </w:rPr>
        <w:t>25 WUD should be interpreted in a similar manner.</w:t>
      </w:r>
    </w:p>
    <w:p w14:paraId="22EB2B01" w14:textId="77777777" w:rsidR="00E02530" w:rsidRPr="00E02530" w:rsidRDefault="00E02530" w:rsidP="004A7700">
      <w:pPr>
        <w:tabs>
          <w:tab w:val="num" w:pos="680"/>
        </w:tabs>
        <w:suppressAutoHyphens/>
        <w:spacing w:after="0"/>
        <w:outlineLvl w:val="1"/>
        <w:rPr>
          <w:rFonts w:ascii="Times New Roman" w:hAnsi="Times New Roman"/>
          <w:sz w:val="24"/>
          <w:szCs w:val="24"/>
        </w:rPr>
      </w:pPr>
    </w:p>
    <w:p w14:paraId="6E07FB11" w14:textId="77777777" w:rsidR="00E0253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This broader interpretation of the local transposition of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25 WUD was tested in the context of the insolvency of a large Bulgarian bank– Corporate Commercial Bank AD (CCB) – which commenced in 2014, when we represented a counterparty to CCB under multiple transactions under the 2002 ISDA Master Agreement governed by New York law. The agreement was terminated not upon the occurrence of the restructuring event (due to unfavourable rates at that time) but four months later and, according to the restructuring laws then applicable in Bulgaria, had to be approved by the Bulgarian National Bank (BNB).</w:t>
      </w:r>
    </w:p>
    <w:p w14:paraId="4BE2CC92" w14:textId="77777777" w:rsidR="00E02530" w:rsidRPr="00E02530" w:rsidRDefault="00E02530" w:rsidP="004A7700">
      <w:pPr>
        <w:numPr>
          <w:ilvl w:val="1"/>
          <w:numId w:val="0"/>
        </w:numPr>
        <w:tabs>
          <w:tab w:val="num" w:pos="680"/>
        </w:tabs>
        <w:suppressAutoHyphens/>
        <w:spacing w:after="0"/>
        <w:outlineLvl w:val="1"/>
        <w:rPr>
          <w:rFonts w:ascii="Times New Roman" w:hAnsi="Times New Roman"/>
          <w:sz w:val="24"/>
          <w:szCs w:val="24"/>
          <w:lang w:eastAsia="en-US"/>
        </w:rPr>
      </w:pPr>
    </w:p>
    <w:p w14:paraId="6DDEBEA8" w14:textId="4337B9E1"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lastRenderedPageBreak/>
        <w:t xml:space="preserve">The BNB adopted the analysis, drawing a parallel with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8 SFD. Subsequently, the same analysis was adopted by the CCB</w:t>
      </w:r>
      <w:r w:rsidRPr="00E02530">
        <w:rPr>
          <w:rFonts w:ascii="Times New Roman" w:hAnsi="Times New Roman"/>
          <w:sz w:val="24"/>
          <w:szCs w:val="24"/>
          <w:lang w:eastAsia="en-US"/>
        </w:rPr>
        <w:t>’</w:t>
      </w:r>
      <w:r w:rsidRPr="00E02530">
        <w:rPr>
          <w:rFonts w:ascii="Times New Roman" w:hAnsi="Times New Roman"/>
          <w:sz w:val="24"/>
          <w:szCs w:val="24"/>
          <w:lang w:eastAsia="en-US"/>
        </w:rPr>
        <w:t>s insolvency administrators, who did not invoke a special bank insolvency avoidance rule that would invalidate any set-off after the initial bankruptcy event. That was relevant, as upon termination of the transactions in that case, the calculated early termination amount included set-off against a substantial default rate amount and was challengeable but was never disputed within the applicable time-barring periods.</w:t>
      </w:r>
    </w:p>
    <w:p w14:paraId="7AA485E5" w14:textId="77777777" w:rsidR="00E02530" w:rsidRPr="00E02530" w:rsidRDefault="00E02530" w:rsidP="004A7700">
      <w:pPr>
        <w:numPr>
          <w:ilvl w:val="1"/>
          <w:numId w:val="0"/>
        </w:numPr>
        <w:tabs>
          <w:tab w:val="num" w:pos="680"/>
        </w:tabs>
        <w:suppressAutoHyphens/>
        <w:spacing w:after="0"/>
        <w:outlineLvl w:val="1"/>
        <w:rPr>
          <w:rFonts w:ascii="Times New Roman" w:hAnsi="Times New Roman"/>
          <w:sz w:val="24"/>
          <w:szCs w:val="24"/>
          <w:lang w:eastAsia="en-US"/>
        </w:rPr>
      </w:pPr>
    </w:p>
    <w:p w14:paraId="2093CCB7" w14:textId="54AF6489" w:rsidR="00E02530" w:rsidRPr="00E02530" w:rsidRDefault="004A770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sz w:val="24"/>
          <w:szCs w:val="24"/>
          <w:lang w:eastAsia="en-US"/>
        </w:rPr>
        <w:t xml:space="preserve">Despite the above practice, given that important </w:t>
      </w:r>
      <w:r w:rsidRPr="00E02530">
        <w:rPr>
          <w:rFonts w:ascii="Times New Roman" w:hAnsi="Times New Roman"/>
          <w:sz w:val="24"/>
          <w:szCs w:val="24"/>
        </w:rPr>
        <w:t xml:space="preserve">member states (as France and Germany, as well as the UK that retained its </w:t>
      </w:r>
      <w:r w:rsidRPr="00E02530">
        <w:rPr>
          <w:rFonts w:ascii="Times New Roman" w:hAnsi="Times New Roman"/>
          <w:sz w:val="24"/>
          <w:szCs w:val="24"/>
        </w:rPr>
        <w:t xml:space="preserve">Article </w:t>
      </w:r>
      <w:r w:rsidRPr="00E02530">
        <w:rPr>
          <w:rFonts w:ascii="Times New Roman" w:hAnsi="Times New Roman"/>
          <w:sz w:val="24"/>
          <w:szCs w:val="24"/>
        </w:rPr>
        <w:t>25 WUD</w:t>
      </w:r>
      <w:r w:rsidRPr="00E02530">
        <w:rPr>
          <w:rFonts w:ascii="Times New Roman" w:hAnsi="Times New Roman"/>
          <w:sz w:val="24"/>
          <w:szCs w:val="24"/>
        </w:rPr>
        <w:t>’</w:t>
      </w:r>
      <w:r w:rsidRPr="00E02530">
        <w:rPr>
          <w:rFonts w:ascii="Times New Roman" w:hAnsi="Times New Roman"/>
          <w:sz w:val="24"/>
          <w:szCs w:val="24"/>
        </w:rPr>
        <w:t xml:space="preserve">s transposition after BREXIT) have implemented </w:t>
      </w:r>
      <w:r w:rsidRPr="00E02530">
        <w:rPr>
          <w:rFonts w:ascii="Times New Roman" w:hAnsi="Times New Roman"/>
          <w:sz w:val="24"/>
          <w:szCs w:val="24"/>
        </w:rPr>
        <w:t xml:space="preserve">Article </w:t>
      </w:r>
      <w:r w:rsidRPr="00E02530">
        <w:rPr>
          <w:rFonts w:ascii="Times New Roman" w:hAnsi="Times New Roman"/>
          <w:sz w:val="24"/>
          <w:szCs w:val="24"/>
        </w:rPr>
        <w:t xml:space="preserve">25 limiting it only to the </w:t>
      </w:r>
      <w:r w:rsidRPr="00E02530">
        <w:rPr>
          <w:rFonts w:ascii="Times New Roman" w:hAnsi="Times New Roman"/>
          <w:sz w:val="24"/>
          <w:szCs w:val="24"/>
        </w:rPr>
        <w:t>“</w:t>
      </w:r>
      <w:r w:rsidRPr="00E02530">
        <w:rPr>
          <w:rFonts w:ascii="Times New Roman" w:hAnsi="Times New Roman"/>
          <w:sz w:val="24"/>
          <w:szCs w:val="24"/>
        </w:rPr>
        <w:t>effects of</w:t>
      </w:r>
      <w:r w:rsidRPr="00E02530">
        <w:rPr>
          <w:rFonts w:ascii="Times New Roman" w:hAnsi="Times New Roman"/>
          <w:sz w:val="24"/>
          <w:szCs w:val="24"/>
        </w:rPr>
        <w:t>”</w:t>
      </w:r>
      <w:r w:rsidRPr="00E02530">
        <w:rPr>
          <w:rFonts w:ascii="Times New Roman" w:hAnsi="Times New Roman"/>
          <w:sz w:val="24"/>
          <w:szCs w:val="24"/>
        </w:rPr>
        <w:t xml:space="preserve"> winding-up proceedings or restructuring measures, and the </w:t>
      </w:r>
      <w:r w:rsidRPr="00E02530">
        <w:rPr>
          <w:rFonts w:ascii="Times New Roman" w:hAnsi="Times New Roman"/>
          <w:sz w:val="24"/>
          <w:szCs w:val="24"/>
          <w:lang w:eastAsia="en-US"/>
        </w:rPr>
        <w:t xml:space="preserve">prevailing view among experts that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25 WUD does not cover avoidance rules, a conservative approach excluding avoidance rules has been taken in Bulgarian opinions on the </w:t>
      </w:r>
      <w:bookmarkStart w:id="14" w:name="_Hlk204891134"/>
      <w:r w:rsidRPr="00E02530">
        <w:rPr>
          <w:rFonts w:ascii="Times New Roman" w:hAnsi="Times New Roman"/>
          <w:sz w:val="24"/>
          <w:szCs w:val="24"/>
          <w:lang w:eastAsia="en-US"/>
        </w:rPr>
        <w:t xml:space="preserve">local transposition of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 xml:space="preserve">25 WUD </w:t>
      </w:r>
      <w:bookmarkEnd w:id="14"/>
      <w:r w:rsidRPr="00E02530">
        <w:rPr>
          <w:rFonts w:ascii="Times New Roman" w:hAnsi="Times New Roman"/>
          <w:sz w:val="24"/>
          <w:szCs w:val="24"/>
          <w:lang w:eastAsia="en-US"/>
        </w:rPr>
        <w:t>that is most often analysed for the purposes of legal opinions.</w:t>
      </w:r>
    </w:p>
    <w:p w14:paraId="67B0B90E" w14:textId="01B82D66" w:rsidR="00E02530" w:rsidRPr="00E02530" w:rsidRDefault="00E02530" w:rsidP="004A7700">
      <w:pPr>
        <w:numPr>
          <w:ilvl w:val="1"/>
          <w:numId w:val="0"/>
        </w:numPr>
        <w:tabs>
          <w:tab w:val="num" w:pos="680"/>
        </w:tabs>
        <w:suppressAutoHyphens/>
        <w:spacing w:after="0"/>
        <w:outlineLvl w:val="1"/>
        <w:rPr>
          <w:rFonts w:ascii="Times New Roman" w:hAnsi="Times New Roman"/>
          <w:sz w:val="24"/>
          <w:szCs w:val="24"/>
          <w:lang w:eastAsia="en-US"/>
        </w:rPr>
      </w:pPr>
    </w:p>
    <w:p w14:paraId="11B25755" w14:textId="06F9FCF9" w:rsidR="00E02530" w:rsidRPr="00E02530" w:rsidRDefault="00E02530" w:rsidP="004A7700">
      <w:pPr>
        <w:numPr>
          <w:ilvl w:val="1"/>
          <w:numId w:val="0"/>
        </w:numPr>
        <w:tabs>
          <w:tab w:val="num" w:pos="680"/>
        </w:tabs>
        <w:suppressAutoHyphens/>
        <w:spacing w:after="0"/>
        <w:outlineLvl w:val="1"/>
        <w:rPr>
          <w:rFonts w:ascii="Times New Roman" w:hAnsi="Times New Roman"/>
          <w:sz w:val="24"/>
          <w:szCs w:val="24"/>
          <w:lang w:eastAsia="en-US"/>
        </w:rPr>
      </w:pPr>
      <w:r w:rsidRPr="00E02530">
        <w:rPr>
          <w:rFonts w:ascii="Times New Roman" w:hAnsi="Times New Roman"/>
          <w:i/>
          <w:iCs/>
          <w:sz w:val="24"/>
          <w:szCs w:val="24"/>
          <w:lang w:eastAsia="en-US"/>
        </w:rPr>
        <w:t>Summary</w:t>
      </w:r>
    </w:p>
    <w:p w14:paraId="33112109" w14:textId="77777777" w:rsidR="00E02530" w:rsidRPr="00E02530" w:rsidRDefault="00E02530" w:rsidP="004A7700">
      <w:pPr>
        <w:numPr>
          <w:ilvl w:val="1"/>
          <w:numId w:val="0"/>
        </w:numPr>
        <w:tabs>
          <w:tab w:val="num" w:pos="680"/>
        </w:tabs>
        <w:suppressAutoHyphens/>
        <w:spacing w:after="0"/>
        <w:outlineLvl w:val="1"/>
        <w:rPr>
          <w:rFonts w:ascii="Times New Roman" w:hAnsi="Times New Roman"/>
          <w:sz w:val="24"/>
          <w:szCs w:val="24"/>
          <w:lang w:eastAsia="en-US"/>
        </w:rPr>
      </w:pPr>
    </w:p>
    <w:p w14:paraId="18335459" w14:textId="3F6A831F" w:rsidR="004A7700" w:rsidRPr="00E02530" w:rsidRDefault="004A7700" w:rsidP="004A7700">
      <w:pPr>
        <w:numPr>
          <w:ilvl w:val="1"/>
          <w:numId w:val="0"/>
        </w:numPr>
        <w:tabs>
          <w:tab w:val="num" w:pos="680"/>
        </w:tabs>
        <w:suppressAutoHyphens/>
        <w:spacing w:after="0"/>
        <w:outlineLvl w:val="1"/>
        <w:rPr>
          <w:rFonts w:ascii="Times New Roman" w:hAnsi="Times New Roman"/>
          <w:sz w:val="24"/>
          <w:szCs w:val="24"/>
        </w:rPr>
      </w:pPr>
      <w:r w:rsidRPr="00E02530">
        <w:rPr>
          <w:rFonts w:ascii="Times New Roman" w:hAnsi="Times New Roman"/>
          <w:sz w:val="24"/>
          <w:szCs w:val="24"/>
        </w:rPr>
        <w:t>Given</w:t>
      </w:r>
      <w:r w:rsidRPr="00E02530">
        <w:rPr>
          <w:rFonts w:ascii="Times New Roman" w:hAnsi="Times New Roman"/>
          <w:sz w:val="24"/>
          <w:szCs w:val="24"/>
          <w:lang w:eastAsia="en-US"/>
        </w:rPr>
        <w:t xml:space="preserve"> the statutory clarification that the conflict of laws rule under the Act explicitly subjects the insolvency avoidance rules to the law governing the agreement – and noting that, apart from the clarifications, this rule is the same as the local implementation of </w:t>
      </w:r>
      <w:r w:rsidRPr="00E02530">
        <w:rPr>
          <w:rFonts w:ascii="Times New Roman" w:hAnsi="Times New Roman"/>
          <w:sz w:val="24"/>
          <w:szCs w:val="24"/>
          <w:lang w:eastAsia="en-US"/>
        </w:rPr>
        <w:t xml:space="preserve">Article </w:t>
      </w:r>
      <w:r w:rsidRPr="00E02530">
        <w:rPr>
          <w:rFonts w:ascii="Times New Roman" w:hAnsi="Times New Roman"/>
          <w:sz w:val="24"/>
          <w:szCs w:val="24"/>
          <w:lang w:eastAsia="en-US"/>
        </w:rPr>
        <w:t>25 WUD, the latter</w:t>
      </w:r>
      <w:r w:rsidRPr="00E02530">
        <w:rPr>
          <w:rFonts w:ascii="Times New Roman" w:hAnsi="Times New Roman"/>
          <w:sz w:val="24"/>
          <w:szCs w:val="24"/>
          <w:lang w:eastAsia="en-US"/>
        </w:rPr>
        <w:t>’</w:t>
      </w:r>
      <w:r w:rsidRPr="00E02530">
        <w:rPr>
          <w:rFonts w:ascii="Times New Roman" w:hAnsi="Times New Roman"/>
          <w:sz w:val="24"/>
          <w:szCs w:val="24"/>
          <w:lang w:eastAsia="en-US"/>
        </w:rPr>
        <w:t>s meaning should be reconsidered in legal opinions.</w:t>
      </w:r>
    </w:p>
    <w:p w14:paraId="5761A948" w14:textId="5BFBA59E" w:rsidR="0047439B" w:rsidRPr="00E02530" w:rsidRDefault="0047439B" w:rsidP="004A7700">
      <w:pPr>
        <w:spacing w:after="0"/>
        <w:rPr>
          <w:rFonts w:ascii="Times New Roman" w:hAnsi="Times New Roman"/>
          <w:sz w:val="24"/>
          <w:szCs w:val="24"/>
        </w:rPr>
      </w:pPr>
    </w:p>
    <w:sectPr w:rsidR="0047439B" w:rsidRPr="00E02530"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62A3" w14:textId="77777777" w:rsidR="00667D19" w:rsidRDefault="00667D19">
      <w:r>
        <w:separator/>
      </w:r>
    </w:p>
  </w:endnote>
  <w:endnote w:type="continuationSeparator" w:id="0">
    <w:p w14:paraId="3C67253A" w14:textId="77777777" w:rsidR="00667D19" w:rsidRDefault="0066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BDAD" w14:textId="77777777" w:rsidR="00667D19" w:rsidRDefault="00667D19">
      <w:r>
        <w:separator/>
      </w:r>
    </w:p>
  </w:footnote>
  <w:footnote w:type="continuationSeparator" w:id="0">
    <w:p w14:paraId="53BDFE12" w14:textId="77777777" w:rsidR="00667D19" w:rsidRDefault="0066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17D861D5"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4A7700">
      <w:rPr>
        <w:rFonts w:ascii="Arial" w:hAnsi="Arial" w:cs="Arial"/>
        <w:b/>
        <w:sz w:val="20"/>
      </w:rPr>
      <w:t>September</w:t>
    </w:r>
    <w:r w:rsidR="002A5779" w:rsidRPr="002331CA">
      <w:rPr>
        <w:rFonts w:ascii="Arial" w:hAnsi="Arial" w:cs="Arial"/>
        <w:b/>
        <w:sz w:val="20"/>
      </w:rPr>
      <w:t xml:space="preserve"> 20</w:t>
    </w:r>
    <w:r w:rsidR="00087612" w:rsidRPr="002331CA">
      <w:rPr>
        <w:rFonts w:ascii="Arial" w:hAnsi="Arial" w:cs="Arial"/>
        <w:b/>
        <w:sz w:val="20"/>
      </w:rPr>
      <w:t>2</w:t>
    </w:r>
    <w:r w:rsidR="00D10A38">
      <w:rPr>
        <w:rFonts w:ascii="Arial" w:hAnsi="Arial" w:cs="Arial"/>
        <w:b/>
        <w:sz w:val="20"/>
      </w:rPr>
      <w:t>5</w:t>
    </w:r>
    <w:r w:rsidR="00D90E9D">
      <w:rPr>
        <w:rFonts w:ascii="Arial" w:hAnsi="Arial" w:cs="Arial"/>
        <w:b/>
        <w:sz w:val="20"/>
      </w:rPr>
      <w:t>)</w:t>
    </w:r>
  </w:p>
  <w:p w14:paraId="0F2C5C5A" w14:textId="07DBA273" w:rsidR="00BF3D3E" w:rsidRPr="0011226B" w:rsidRDefault="004A7700" w:rsidP="00D90E9D">
    <w:pPr>
      <w:pStyle w:val="Header"/>
      <w:spacing w:after="0"/>
      <w:rPr>
        <w:rFonts w:ascii="Arial" w:hAnsi="Arial" w:cs="Arial"/>
        <w:b/>
        <w:sz w:val="20"/>
        <w:lang w:val="fr-FR"/>
      </w:rPr>
    </w:pPr>
    <w:r>
      <w:rPr>
        <w:rFonts w:ascii="Arial" w:hAnsi="Arial" w:cs="Arial"/>
        <w:b/>
        <w:sz w:val="20"/>
      </w:rPr>
      <w:t xml:space="preserve">Tsvetan Krumov </w:t>
    </w:r>
    <w:r w:rsidR="00640EFC" w:rsidRPr="0011226B">
      <w:rPr>
        <w:rFonts w:ascii="Arial" w:hAnsi="Arial" w:cs="Arial"/>
        <w:b/>
        <w:sz w:val="20"/>
        <w:lang w:val="fr-FR"/>
      </w:rPr>
      <w:t>(</w:t>
    </w:r>
    <w:r>
      <w:rPr>
        <w:rFonts w:ascii="Arial" w:hAnsi="Arial" w:cs="Arial"/>
        <w:b/>
        <w:sz w:val="20"/>
        <w:lang w:val="fr-FR"/>
      </w:rPr>
      <w:t>Bulgaria</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9A6"/>
    <w:multiLevelType w:val="hybridMultilevel"/>
    <w:tmpl w:val="53124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1">
    <w:nsid w:val="19A47314"/>
    <w:multiLevelType w:val="multilevel"/>
    <w:tmpl w:val="11344294"/>
    <w:name w:val="S heading_arb"/>
    <w:lvl w:ilvl="0">
      <w:start w:val="1"/>
      <w:numFmt w:val="upperRoman"/>
      <w:pStyle w:val="SheadingIarb"/>
      <w:lvlText w:val="%1."/>
      <w:lvlJc w:val="left"/>
      <w:pPr>
        <w:tabs>
          <w:tab w:val="num" w:pos="851"/>
        </w:tabs>
        <w:ind w:left="851" w:hanging="851"/>
      </w:pPr>
    </w:lvl>
    <w:lvl w:ilvl="1">
      <w:start w:val="1"/>
      <w:numFmt w:val="decimal"/>
      <w:pStyle w:val="Sheading1arb"/>
      <w:lvlText w:val="%2"/>
      <w:lvlJc w:val="left"/>
      <w:pPr>
        <w:tabs>
          <w:tab w:val="num" w:pos="851"/>
        </w:tabs>
        <w:ind w:left="851" w:hanging="851"/>
      </w:pPr>
    </w:lvl>
    <w:lvl w:ilvl="2">
      <w:start w:val="1"/>
      <w:numFmt w:val="decimal"/>
      <w:pStyle w:val="Sheading2arb"/>
      <w:lvlText w:val="%2.%3"/>
      <w:lvlJc w:val="left"/>
      <w:pPr>
        <w:tabs>
          <w:tab w:val="num" w:pos="851"/>
        </w:tabs>
        <w:ind w:left="851" w:hanging="851"/>
      </w:pPr>
    </w:lvl>
    <w:lvl w:ilvl="3">
      <w:start w:val="1"/>
      <w:numFmt w:val="decimal"/>
      <w:pStyle w:val="Sheading3arb"/>
      <w:lvlText w:val="%2.%3.%4"/>
      <w:lvlJc w:val="left"/>
      <w:pPr>
        <w:tabs>
          <w:tab w:val="num" w:pos="851"/>
        </w:tabs>
        <w:ind w:left="851" w:hanging="851"/>
      </w:pPr>
    </w:lvl>
    <w:lvl w:ilvl="4">
      <w:start w:val="1"/>
      <w:numFmt w:val="decimal"/>
      <w:pStyle w:val="Sheading4arb"/>
      <w:lvlText w:val="%2.%3.%4.%5"/>
      <w:lvlJc w:val="left"/>
      <w:pPr>
        <w:tabs>
          <w:tab w:val="num" w:pos="2269"/>
        </w:tabs>
        <w:ind w:left="2269" w:hanging="1418"/>
      </w:pPr>
    </w:lvl>
    <w:lvl w:ilvl="5">
      <w:start w:val="1"/>
      <w:numFmt w:val="decimal"/>
      <w:pStyle w:val="Sheading5arb"/>
      <w:lvlText w:val="%2.%3.%4.%5.%6"/>
      <w:lvlJc w:val="left"/>
      <w:pPr>
        <w:tabs>
          <w:tab w:val="num" w:pos="2269"/>
        </w:tabs>
        <w:ind w:left="2269" w:hanging="1418"/>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1">
    <w:nsid w:val="22A47320"/>
    <w:multiLevelType w:val="multilevel"/>
    <w:tmpl w:val="16454295"/>
    <w:name w:val="S headingM"/>
    <w:lvl w:ilvl="0">
      <w:start w:val="1"/>
      <w:numFmt w:val="upperRoman"/>
      <w:pStyle w:val="SheadingIM"/>
      <w:lvlText w:val="%1."/>
      <w:lvlJc w:val="left"/>
      <w:pPr>
        <w:tabs>
          <w:tab w:val="num" w:pos="964"/>
        </w:tabs>
        <w:ind w:left="964" w:hanging="964"/>
      </w:pPr>
    </w:lvl>
    <w:lvl w:ilvl="1">
      <w:start w:val="1"/>
      <w:numFmt w:val="decimal"/>
      <w:pStyle w:val="SheadingM1"/>
      <w:lvlText w:val="%2"/>
      <w:lvlJc w:val="left"/>
      <w:pPr>
        <w:tabs>
          <w:tab w:val="num" w:pos="964"/>
        </w:tabs>
        <w:ind w:left="964" w:hanging="964"/>
      </w:pPr>
    </w:lvl>
    <w:lvl w:ilvl="2">
      <w:start w:val="1"/>
      <w:numFmt w:val="decimal"/>
      <w:pStyle w:val="SheadingM2"/>
      <w:lvlText w:val="%2.%3"/>
      <w:lvlJc w:val="left"/>
      <w:pPr>
        <w:tabs>
          <w:tab w:val="num" w:pos="964"/>
        </w:tabs>
        <w:ind w:left="964" w:hanging="964"/>
      </w:pPr>
    </w:lvl>
    <w:lvl w:ilvl="3">
      <w:start w:val="1"/>
      <w:numFmt w:val="decimal"/>
      <w:pStyle w:val="SheadingM3"/>
      <w:lvlText w:val="%2.%3.%4"/>
      <w:lvlJc w:val="left"/>
      <w:pPr>
        <w:tabs>
          <w:tab w:val="num" w:pos="964"/>
        </w:tabs>
        <w:ind w:left="964" w:hanging="964"/>
      </w:pPr>
    </w:lvl>
    <w:lvl w:ilvl="4">
      <w:start w:val="1"/>
      <w:numFmt w:val="decimal"/>
      <w:pStyle w:val="SheadingM4"/>
      <w:lvlText w:val="%2.%3.%4.%5"/>
      <w:lvlJc w:val="left"/>
      <w:pPr>
        <w:tabs>
          <w:tab w:val="num" w:pos="964"/>
        </w:tabs>
        <w:ind w:left="964" w:hanging="964"/>
      </w:pPr>
    </w:lvl>
    <w:lvl w:ilvl="5">
      <w:start w:val="1"/>
      <w:numFmt w:val="decimal"/>
      <w:pStyle w:val="SheadingM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3B585345"/>
    <w:multiLevelType w:val="hybridMultilevel"/>
    <w:tmpl w:val="119E16EE"/>
    <w:lvl w:ilvl="0" w:tplc="1068B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B11F7"/>
    <w:multiLevelType w:val="hybridMultilevel"/>
    <w:tmpl w:val="139EF9AA"/>
    <w:lvl w:ilvl="0" w:tplc="D94E18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54324A4C"/>
    <w:multiLevelType w:val="hybridMultilevel"/>
    <w:tmpl w:val="9096501C"/>
    <w:lvl w:ilvl="0" w:tplc="A964ED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2"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13"/>
  </w:num>
  <w:num w:numId="4">
    <w:abstractNumId w:val="5"/>
  </w:num>
  <w:num w:numId="5">
    <w:abstractNumId w:val="3"/>
  </w:num>
  <w:num w:numId="6">
    <w:abstractNumId w:val="11"/>
  </w:num>
  <w:num w:numId="7">
    <w:abstractNumId w:val="12"/>
  </w:num>
  <w:num w:numId="8">
    <w:abstractNumId w:val="7"/>
  </w:num>
  <w:num w:numId="9">
    <w:abstractNumId w:val="0"/>
  </w:num>
  <w:num w:numId="10">
    <w:abstractNumId w:val="4"/>
  </w:num>
  <w:num w:numId="11">
    <w:abstractNumId w:val="2"/>
  </w:num>
  <w:num w:numId="12">
    <w:abstractNumId w:val="6"/>
  </w:num>
  <w:num w:numId="13">
    <w:abstractNumId w:val="1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65DA6"/>
    <w:rsid w:val="00086E49"/>
    <w:rsid w:val="00087612"/>
    <w:rsid w:val="000921F0"/>
    <w:rsid w:val="00092307"/>
    <w:rsid w:val="000B09D3"/>
    <w:rsid w:val="000C398A"/>
    <w:rsid w:val="000C4532"/>
    <w:rsid w:val="000C7620"/>
    <w:rsid w:val="000D3C8B"/>
    <w:rsid w:val="000F0420"/>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46B26"/>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A7700"/>
    <w:rsid w:val="004B3FED"/>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67D19"/>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8F3322"/>
    <w:rsid w:val="00900A95"/>
    <w:rsid w:val="009069C9"/>
    <w:rsid w:val="009224B4"/>
    <w:rsid w:val="00933B42"/>
    <w:rsid w:val="0093601D"/>
    <w:rsid w:val="009542ED"/>
    <w:rsid w:val="009656AB"/>
    <w:rsid w:val="00976F27"/>
    <w:rsid w:val="00977889"/>
    <w:rsid w:val="0098305D"/>
    <w:rsid w:val="00993C5F"/>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C225C"/>
    <w:rsid w:val="00BC4C0D"/>
    <w:rsid w:val="00BD0697"/>
    <w:rsid w:val="00BE2B07"/>
    <w:rsid w:val="00BF3D3E"/>
    <w:rsid w:val="00C16DFA"/>
    <w:rsid w:val="00C2522B"/>
    <w:rsid w:val="00C378D4"/>
    <w:rsid w:val="00C62042"/>
    <w:rsid w:val="00C900E1"/>
    <w:rsid w:val="00C96534"/>
    <w:rsid w:val="00CA2E89"/>
    <w:rsid w:val="00CA53BB"/>
    <w:rsid w:val="00CB7636"/>
    <w:rsid w:val="00CC02EB"/>
    <w:rsid w:val="00CE09C4"/>
    <w:rsid w:val="00D03DC1"/>
    <w:rsid w:val="00D05F7C"/>
    <w:rsid w:val="00D10A38"/>
    <w:rsid w:val="00D2584B"/>
    <w:rsid w:val="00D31877"/>
    <w:rsid w:val="00D32C99"/>
    <w:rsid w:val="00D5309A"/>
    <w:rsid w:val="00D6291C"/>
    <w:rsid w:val="00D637FF"/>
    <w:rsid w:val="00D74A36"/>
    <w:rsid w:val="00D90E9D"/>
    <w:rsid w:val="00DE5F99"/>
    <w:rsid w:val="00E007BF"/>
    <w:rsid w:val="00E0090D"/>
    <w:rsid w:val="00E02530"/>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A632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 w:type="paragraph" w:customStyle="1" w:styleId="DSHeadingUnnumbered1">
    <w:name w:val="DS_Heading_Unnumbered_1"/>
    <w:basedOn w:val="Heading1"/>
    <w:next w:val="Normal"/>
    <w:qFormat/>
    <w:rsid w:val="00D10A38"/>
    <w:pPr>
      <w:keepNext w:val="0"/>
      <w:spacing w:before="0" w:after="0" w:line="280" w:lineRule="atLeast"/>
      <w:jc w:val="left"/>
    </w:pPr>
    <w:rPr>
      <w:rFonts w:asciiTheme="majorHAnsi" w:eastAsiaTheme="majorEastAsia" w:hAnsiTheme="majorHAnsi" w:cstheme="majorBidi"/>
      <w:bCs w:val="0"/>
      <w:color w:val="000000" w:themeColor="text1"/>
      <w:kern w:val="0"/>
      <w:sz w:val="20"/>
      <w:lang w:val="nl-NL" w:eastAsia="en-US"/>
    </w:rPr>
  </w:style>
  <w:style w:type="character" w:customStyle="1" w:styleId="Heading2Char">
    <w:name w:val="Heading 2 Char"/>
    <w:basedOn w:val="DefaultParagraphFont"/>
    <w:link w:val="Heading2"/>
    <w:rsid w:val="00FA6321"/>
    <w:rPr>
      <w:rFonts w:ascii="Arial" w:hAnsi="Arial" w:cs="Arial"/>
      <w:b/>
      <w:bCs/>
      <w:i/>
      <w:iCs/>
      <w:sz w:val="28"/>
      <w:szCs w:val="28"/>
    </w:rPr>
  </w:style>
  <w:style w:type="paragraph" w:customStyle="1" w:styleId="SheadingIarb">
    <w:name w:val="S_heading I._arb"/>
    <w:basedOn w:val="Normal"/>
    <w:next w:val="Sheading1arb"/>
    <w:uiPriority w:val="8"/>
    <w:semiHidden/>
    <w:unhideWhenUsed/>
    <w:qFormat/>
    <w:rsid w:val="004A7700"/>
    <w:pPr>
      <w:keepNext/>
      <w:keepLines/>
      <w:numPr>
        <w:numId w:val="11"/>
      </w:numPr>
      <w:spacing w:before="240" w:after="60" w:line="280" w:lineRule="atLeast"/>
      <w:outlineLvl w:val="0"/>
    </w:pPr>
    <w:rPr>
      <w:rFonts w:ascii="Verdana" w:eastAsiaTheme="minorEastAsia" w:hAnsi="Verdana" w:cs="Verdana"/>
      <w:b/>
      <w:sz w:val="20"/>
      <w:lang w:val="de-AT" w:eastAsia="zh-TW"/>
    </w:rPr>
  </w:style>
  <w:style w:type="paragraph" w:customStyle="1" w:styleId="Sheading1arb">
    <w:name w:val="S_heading 1_arb"/>
    <w:basedOn w:val="Normal"/>
    <w:next w:val="Normal"/>
    <w:uiPriority w:val="9"/>
    <w:semiHidden/>
    <w:unhideWhenUsed/>
    <w:qFormat/>
    <w:rsid w:val="004A7700"/>
    <w:pPr>
      <w:keepNext/>
      <w:keepLines/>
      <w:numPr>
        <w:ilvl w:val="1"/>
        <w:numId w:val="11"/>
      </w:numPr>
      <w:spacing w:before="240" w:after="60" w:line="280" w:lineRule="atLeast"/>
      <w:outlineLvl w:val="0"/>
    </w:pPr>
    <w:rPr>
      <w:rFonts w:ascii="Verdana" w:eastAsiaTheme="minorEastAsia" w:hAnsi="Verdana" w:cs="Verdana"/>
      <w:b/>
      <w:sz w:val="20"/>
      <w:lang w:val="de-AT" w:eastAsia="zh-TW"/>
    </w:rPr>
  </w:style>
  <w:style w:type="paragraph" w:customStyle="1" w:styleId="Sheading2arb">
    <w:name w:val="S_heading 2_arb"/>
    <w:basedOn w:val="Normal"/>
    <w:next w:val="Normal"/>
    <w:uiPriority w:val="9"/>
    <w:semiHidden/>
    <w:unhideWhenUsed/>
    <w:qFormat/>
    <w:rsid w:val="004A7700"/>
    <w:pPr>
      <w:keepNext/>
      <w:keepLines/>
      <w:numPr>
        <w:ilvl w:val="2"/>
        <w:numId w:val="11"/>
      </w:numPr>
      <w:spacing w:before="240" w:after="60" w:line="280" w:lineRule="atLeast"/>
      <w:outlineLvl w:val="1"/>
    </w:pPr>
    <w:rPr>
      <w:rFonts w:ascii="Verdana" w:eastAsiaTheme="minorEastAsia" w:hAnsi="Verdana" w:cs="Verdana"/>
      <w:b/>
      <w:sz w:val="20"/>
      <w:lang w:val="de-AT" w:eastAsia="zh-TW"/>
    </w:rPr>
  </w:style>
  <w:style w:type="paragraph" w:customStyle="1" w:styleId="Sheading3arb">
    <w:name w:val="S_heading 3_arb"/>
    <w:basedOn w:val="Normal"/>
    <w:next w:val="Normal"/>
    <w:uiPriority w:val="9"/>
    <w:unhideWhenUsed/>
    <w:qFormat/>
    <w:rsid w:val="004A7700"/>
    <w:pPr>
      <w:keepNext/>
      <w:keepLines/>
      <w:numPr>
        <w:ilvl w:val="3"/>
        <w:numId w:val="11"/>
      </w:numPr>
      <w:spacing w:before="240" w:after="60" w:line="280" w:lineRule="atLeast"/>
      <w:outlineLvl w:val="2"/>
    </w:pPr>
    <w:rPr>
      <w:rFonts w:ascii="Verdana" w:eastAsiaTheme="minorEastAsia" w:hAnsi="Verdana" w:cs="Verdana"/>
      <w:b/>
      <w:sz w:val="20"/>
      <w:lang w:val="de-AT" w:eastAsia="zh-TW"/>
    </w:rPr>
  </w:style>
  <w:style w:type="paragraph" w:customStyle="1" w:styleId="Sheading4arb">
    <w:name w:val="S_heading 4_arb"/>
    <w:basedOn w:val="Normal"/>
    <w:next w:val="Normal"/>
    <w:uiPriority w:val="9"/>
    <w:semiHidden/>
    <w:unhideWhenUsed/>
    <w:qFormat/>
    <w:rsid w:val="004A7700"/>
    <w:pPr>
      <w:keepNext/>
      <w:keepLines/>
      <w:numPr>
        <w:ilvl w:val="4"/>
        <w:numId w:val="11"/>
      </w:numPr>
      <w:spacing w:before="240" w:after="60" w:line="280" w:lineRule="atLeast"/>
      <w:outlineLvl w:val="3"/>
    </w:pPr>
    <w:rPr>
      <w:rFonts w:ascii="Verdana" w:eastAsiaTheme="minorEastAsia" w:hAnsi="Verdana" w:cs="Verdana"/>
      <w:sz w:val="20"/>
      <w:lang w:val="de-AT" w:eastAsia="zh-TW"/>
    </w:rPr>
  </w:style>
  <w:style w:type="paragraph" w:customStyle="1" w:styleId="Sheading5arb">
    <w:name w:val="S_heading 5_arb"/>
    <w:basedOn w:val="Normal"/>
    <w:next w:val="Normal"/>
    <w:uiPriority w:val="9"/>
    <w:semiHidden/>
    <w:unhideWhenUsed/>
    <w:qFormat/>
    <w:rsid w:val="004A7700"/>
    <w:pPr>
      <w:keepNext/>
      <w:keepLines/>
      <w:numPr>
        <w:ilvl w:val="5"/>
        <w:numId w:val="11"/>
      </w:numPr>
      <w:spacing w:before="240" w:after="60" w:line="280" w:lineRule="atLeast"/>
      <w:outlineLvl w:val="4"/>
    </w:pPr>
    <w:rPr>
      <w:rFonts w:ascii="Verdana" w:eastAsiaTheme="minorEastAsia" w:hAnsi="Verdana" w:cs="Verdana"/>
      <w:sz w:val="20"/>
      <w:lang w:val="de-AT" w:eastAsia="zh-TW"/>
    </w:rPr>
  </w:style>
  <w:style w:type="paragraph" w:customStyle="1" w:styleId="SheadingIM">
    <w:name w:val="S_heading I. M"/>
    <w:basedOn w:val="Normal"/>
    <w:next w:val="SheadingM1"/>
    <w:uiPriority w:val="4"/>
    <w:semiHidden/>
    <w:unhideWhenUsed/>
    <w:qFormat/>
    <w:rsid w:val="004A7700"/>
    <w:pPr>
      <w:keepNext/>
      <w:keepLines/>
      <w:numPr>
        <w:numId w:val="10"/>
      </w:numPr>
      <w:spacing w:before="240" w:after="60" w:line="280" w:lineRule="atLeast"/>
      <w:outlineLvl w:val="0"/>
    </w:pPr>
    <w:rPr>
      <w:rFonts w:ascii="Verdana" w:eastAsiaTheme="minorEastAsia" w:hAnsi="Verdana" w:cs="Verdana"/>
      <w:b/>
      <w:sz w:val="20"/>
      <w:lang w:val="de-AT" w:eastAsia="zh-TW"/>
    </w:rPr>
  </w:style>
  <w:style w:type="paragraph" w:customStyle="1" w:styleId="SheadingM1">
    <w:name w:val="S_headingM1"/>
    <w:basedOn w:val="Normal"/>
    <w:next w:val="Normal"/>
    <w:uiPriority w:val="5"/>
    <w:semiHidden/>
    <w:unhideWhenUsed/>
    <w:qFormat/>
    <w:rsid w:val="004A7700"/>
    <w:pPr>
      <w:keepNext/>
      <w:numPr>
        <w:ilvl w:val="1"/>
        <w:numId w:val="10"/>
      </w:numPr>
      <w:spacing w:before="240" w:after="60" w:line="280" w:lineRule="atLeast"/>
      <w:outlineLvl w:val="0"/>
    </w:pPr>
    <w:rPr>
      <w:rFonts w:ascii="Verdana" w:eastAsiaTheme="minorEastAsia" w:hAnsi="Verdana" w:cs="Verdana"/>
      <w:b/>
      <w:sz w:val="20"/>
      <w:lang w:val="de-AT" w:eastAsia="zh-TW"/>
    </w:rPr>
  </w:style>
  <w:style w:type="paragraph" w:customStyle="1" w:styleId="SheadingM2">
    <w:name w:val="S_headingM2"/>
    <w:basedOn w:val="Normal"/>
    <w:next w:val="Normal"/>
    <w:uiPriority w:val="5"/>
    <w:semiHidden/>
    <w:unhideWhenUsed/>
    <w:qFormat/>
    <w:rsid w:val="004A7700"/>
    <w:pPr>
      <w:keepNext/>
      <w:numPr>
        <w:ilvl w:val="2"/>
        <w:numId w:val="10"/>
      </w:numPr>
      <w:spacing w:before="240" w:after="60" w:line="280" w:lineRule="atLeast"/>
      <w:outlineLvl w:val="1"/>
    </w:pPr>
    <w:rPr>
      <w:rFonts w:ascii="Verdana" w:eastAsiaTheme="minorEastAsia" w:hAnsi="Verdana" w:cs="Verdana"/>
      <w:sz w:val="20"/>
      <w:lang w:val="de-AT" w:eastAsia="zh-TW"/>
    </w:rPr>
  </w:style>
  <w:style w:type="paragraph" w:customStyle="1" w:styleId="SheadingM3">
    <w:name w:val="S_headingM3"/>
    <w:basedOn w:val="Normal"/>
    <w:next w:val="Normal"/>
    <w:uiPriority w:val="5"/>
    <w:semiHidden/>
    <w:unhideWhenUsed/>
    <w:qFormat/>
    <w:rsid w:val="004A7700"/>
    <w:pPr>
      <w:keepNext/>
      <w:numPr>
        <w:ilvl w:val="3"/>
        <w:numId w:val="10"/>
      </w:numPr>
      <w:spacing w:before="240" w:after="60" w:line="280" w:lineRule="atLeast"/>
      <w:outlineLvl w:val="2"/>
    </w:pPr>
    <w:rPr>
      <w:rFonts w:ascii="Verdana" w:eastAsiaTheme="minorEastAsia" w:hAnsi="Verdana" w:cs="Verdana"/>
      <w:sz w:val="20"/>
      <w:lang w:val="de-AT" w:eastAsia="zh-TW"/>
    </w:rPr>
  </w:style>
  <w:style w:type="paragraph" w:customStyle="1" w:styleId="SheadingM4">
    <w:name w:val="S_headingM4"/>
    <w:basedOn w:val="Normal"/>
    <w:next w:val="Normal"/>
    <w:uiPriority w:val="5"/>
    <w:semiHidden/>
    <w:unhideWhenUsed/>
    <w:qFormat/>
    <w:rsid w:val="004A7700"/>
    <w:pPr>
      <w:keepNext/>
      <w:numPr>
        <w:ilvl w:val="4"/>
        <w:numId w:val="10"/>
      </w:numPr>
      <w:spacing w:before="240" w:after="60" w:line="280" w:lineRule="atLeast"/>
      <w:outlineLvl w:val="3"/>
    </w:pPr>
    <w:rPr>
      <w:rFonts w:ascii="Verdana" w:eastAsiaTheme="minorEastAsia" w:hAnsi="Verdana" w:cs="Verdana"/>
      <w:sz w:val="20"/>
      <w:lang w:val="de-AT" w:eastAsia="zh-TW"/>
    </w:rPr>
  </w:style>
  <w:style w:type="paragraph" w:customStyle="1" w:styleId="SheadingM5">
    <w:name w:val="S_headingM5"/>
    <w:basedOn w:val="Normal"/>
    <w:next w:val="Normal"/>
    <w:uiPriority w:val="5"/>
    <w:semiHidden/>
    <w:unhideWhenUsed/>
    <w:qFormat/>
    <w:rsid w:val="004A7700"/>
    <w:pPr>
      <w:keepNext/>
      <w:numPr>
        <w:ilvl w:val="5"/>
        <w:numId w:val="10"/>
      </w:numPr>
      <w:spacing w:before="240" w:after="60" w:line="280" w:lineRule="atLeast"/>
      <w:outlineLvl w:val="4"/>
    </w:pPr>
    <w:rPr>
      <w:rFonts w:ascii="Verdana" w:eastAsiaTheme="minorEastAsia" w:hAnsi="Verdana" w:cs="Verdana"/>
      <w:sz w:val="20"/>
      <w:lang w:val="de-A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2015</Words>
  <Characters>11489</Characters>
  <Application>Microsoft Office Word</Application>
  <DocSecurity>0</DocSecurity>
  <PresentationFormat/>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4</cp:revision>
  <cp:lastPrinted>2017-11-20T20:14:00Z</cp:lastPrinted>
  <dcterms:created xsi:type="dcterms:W3CDTF">2025-02-14T14:03:00Z</dcterms:created>
  <dcterms:modified xsi:type="dcterms:W3CDTF">2025-09-10T13:45:00Z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