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E52FA1" w:rsidRDefault="005D783E" w:rsidP="003F398F">
      <w:pPr>
        <w:tabs>
          <w:tab w:val="left" w:pos="474"/>
        </w:tabs>
        <w:spacing w:after="0"/>
        <w:contextualSpacing/>
        <w:rPr>
          <w:rFonts w:ascii="Times New Roman" w:hAnsi="Times New Roman"/>
          <w:sz w:val="24"/>
          <w:szCs w:val="24"/>
        </w:rPr>
      </w:pPr>
    </w:p>
    <w:p w14:paraId="39E9118B" w14:textId="561C5F5A" w:rsidR="00617533" w:rsidRPr="00E52FA1" w:rsidRDefault="00492065" w:rsidP="003F398F">
      <w:pPr>
        <w:spacing w:after="0"/>
        <w:contextualSpacing/>
        <w:jc w:val="center"/>
        <w:rPr>
          <w:rFonts w:ascii="Times New Roman" w:hAnsi="Times New Roman"/>
          <w:b/>
          <w:sz w:val="24"/>
          <w:szCs w:val="24"/>
        </w:rPr>
      </w:pPr>
      <w:r w:rsidRPr="00E52FA1">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E52FA1" w:rsidRDefault="00617533" w:rsidP="003F398F">
      <w:pPr>
        <w:spacing w:after="0"/>
        <w:contextualSpacing/>
        <w:jc w:val="center"/>
        <w:rPr>
          <w:rFonts w:ascii="Times New Roman" w:hAnsi="Times New Roman"/>
          <w:b/>
          <w:sz w:val="24"/>
          <w:szCs w:val="24"/>
        </w:rPr>
      </w:pPr>
    </w:p>
    <w:p w14:paraId="2C7EFD65" w14:textId="4FBC5D6D" w:rsidR="00617533" w:rsidRPr="00E52FA1" w:rsidRDefault="00617533" w:rsidP="003F398F">
      <w:pPr>
        <w:spacing w:after="0"/>
        <w:contextualSpacing/>
        <w:jc w:val="center"/>
        <w:rPr>
          <w:rFonts w:ascii="Times New Roman" w:hAnsi="Times New Roman"/>
          <w:b/>
          <w:sz w:val="36"/>
          <w:szCs w:val="36"/>
        </w:rPr>
      </w:pPr>
      <w:r w:rsidRPr="00E52FA1">
        <w:rPr>
          <w:rFonts w:ascii="Times New Roman" w:hAnsi="Times New Roman"/>
          <w:b/>
          <w:sz w:val="36"/>
          <w:szCs w:val="36"/>
        </w:rPr>
        <w:t xml:space="preserve">Inside Story – </w:t>
      </w:r>
      <w:r w:rsidR="00D9454F" w:rsidRPr="00E52FA1">
        <w:rPr>
          <w:rFonts w:ascii="Times New Roman" w:hAnsi="Times New Roman"/>
          <w:b/>
          <w:sz w:val="36"/>
          <w:szCs w:val="36"/>
        </w:rPr>
        <w:t xml:space="preserve">October </w:t>
      </w:r>
      <w:r w:rsidRPr="00E52FA1">
        <w:rPr>
          <w:rFonts w:ascii="Times New Roman" w:hAnsi="Times New Roman"/>
          <w:b/>
          <w:sz w:val="36"/>
          <w:szCs w:val="36"/>
        </w:rPr>
        <w:t>20</w:t>
      </w:r>
      <w:r w:rsidR="00782731" w:rsidRPr="00E52FA1">
        <w:rPr>
          <w:rFonts w:ascii="Times New Roman" w:hAnsi="Times New Roman"/>
          <w:b/>
          <w:sz w:val="36"/>
          <w:szCs w:val="36"/>
        </w:rPr>
        <w:t>2</w:t>
      </w:r>
      <w:r w:rsidR="00D9454F" w:rsidRPr="00E52FA1">
        <w:rPr>
          <w:rFonts w:ascii="Times New Roman" w:hAnsi="Times New Roman"/>
          <w:b/>
          <w:sz w:val="36"/>
          <w:szCs w:val="36"/>
        </w:rPr>
        <w:t>5</w:t>
      </w:r>
    </w:p>
    <w:p w14:paraId="1ECBC4F0" w14:textId="77777777" w:rsidR="00617533" w:rsidRPr="00E52FA1" w:rsidRDefault="00617533" w:rsidP="003F398F">
      <w:pPr>
        <w:spacing w:after="0"/>
        <w:contextualSpacing/>
        <w:jc w:val="center"/>
        <w:rPr>
          <w:rFonts w:ascii="Times New Roman" w:hAnsi="Times New Roman"/>
          <w:b/>
          <w:sz w:val="24"/>
          <w:szCs w:val="24"/>
        </w:rPr>
      </w:pPr>
    </w:p>
    <w:p w14:paraId="419043F1" w14:textId="265BCD63" w:rsidR="00640EFC" w:rsidRPr="00E52FA1" w:rsidRDefault="00D9454F" w:rsidP="003F398F">
      <w:pPr>
        <w:spacing w:after="0"/>
        <w:jc w:val="center"/>
        <w:rPr>
          <w:rFonts w:ascii="Times New Roman" w:hAnsi="Times New Roman"/>
          <w:b/>
          <w:bCs/>
          <w:sz w:val="32"/>
          <w:szCs w:val="32"/>
        </w:rPr>
      </w:pPr>
      <w:r w:rsidRPr="00E52FA1">
        <w:rPr>
          <w:rFonts w:ascii="Times New Roman" w:hAnsi="Times New Roman"/>
          <w:b/>
          <w:bCs/>
          <w:sz w:val="32"/>
          <w:szCs w:val="32"/>
        </w:rPr>
        <w:t xml:space="preserve">The Bank Resolution Framework in Poland: </w:t>
      </w:r>
      <w:r w:rsidR="00E52FA1" w:rsidRPr="00E52FA1">
        <w:rPr>
          <w:rFonts w:ascii="Times New Roman" w:hAnsi="Times New Roman"/>
          <w:b/>
          <w:bCs/>
          <w:sz w:val="32"/>
          <w:szCs w:val="32"/>
        </w:rPr>
        <w:t xml:space="preserve">Arguments for a Creditors’ Ombudsman and </w:t>
      </w:r>
      <w:r w:rsidRPr="00E52FA1">
        <w:rPr>
          <w:rFonts w:ascii="Times New Roman" w:hAnsi="Times New Roman"/>
          <w:b/>
          <w:bCs/>
          <w:sz w:val="32"/>
          <w:szCs w:val="32"/>
        </w:rPr>
        <w:t>Lessons for the EU</w:t>
      </w:r>
    </w:p>
    <w:p w14:paraId="75DFE654" w14:textId="77777777" w:rsidR="00E71E7B" w:rsidRPr="00E52FA1" w:rsidRDefault="00E71E7B" w:rsidP="003F398F">
      <w:pPr>
        <w:spacing w:after="0"/>
        <w:contextualSpacing/>
        <w:jc w:val="center"/>
        <w:rPr>
          <w:rFonts w:ascii="Times New Roman" w:hAnsi="Times New Roman"/>
          <w:sz w:val="24"/>
          <w:szCs w:val="24"/>
        </w:rPr>
      </w:pPr>
    </w:p>
    <w:p w14:paraId="787305C4" w14:textId="77777777" w:rsidR="00D9454F" w:rsidRPr="00E52FA1" w:rsidRDefault="00D9454F" w:rsidP="00D9454F">
      <w:pPr>
        <w:pStyle w:val="NoSpacing"/>
        <w:jc w:val="center"/>
        <w:rPr>
          <w:rFonts w:ascii="Times New Roman" w:hAnsi="Times New Roman" w:cs="Times New Roman"/>
          <w:i/>
          <w:iCs/>
          <w:sz w:val="24"/>
          <w:szCs w:val="24"/>
          <w:shd w:val="clear" w:color="auto" w:fill="FFFFFF"/>
          <w:lang w:val="en-GB"/>
        </w:rPr>
      </w:pPr>
      <w:r w:rsidRPr="00E52FA1">
        <w:rPr>
          <w:rFonts w:ascii="Times New Roman" w:hAnsi="Times New Roman" w:cs="Times New Roman"/>
          <w:i/>
          <w:sz w:val="24"/>
          <w:szCs w:val="24"/>
          <w:lang w:val="en-GB"/>
        </w:rPr>
        <w:t xml:space="preserve">Mateusz Kaliński, Tatara and Partners, Poland. </w:t>
      </w:r>
      <w:r w:rsidRPr="00E52FA1">
        <w:rPr>
          <w:rFonts w:ascii="Times New Roman" w:hAnsi="Times New Roman" w:cs="Times New Roman"/>
          <w:i/>
          <w:iCs/>
          <w:sz w:val="24"/>
          <w:szCs w:val="24"/>
          <w:shd w:val="clear" w:color="auto" w:fill="FFFFFF"/>
          <w:lang w:val="en-GB"/>
        </w:rPr>
        <w:t>Email: &lt;</w:t>
      </w:r>
      <w:r w:rsidRPr="00E52FA1">
        <w:rPr>
          <w:rFonts w:ascii="Times New Roman" w:hAnsi="Times New Roman" w:cs="Times New Roman"/>
          <w:i/>
          <w:iCs/>
          <w:sz w:val="24"/>
          <w:szCs w:val="24"/>
          <w:lang w:val="en-GB"/>
        </w:rPr>
        <w:t>m.kalinski@tatara.com.pl</w:t>
      </w:r>
      <w:r w:rsidRPr="00E52FA1">
        <w:rPr>
          <w:rFonts w:ascii="Times New Roman" w:hAnsi="Times New Roman" w:cs="Times New Roman"/>
          <w:i/>
          <w:iCs/>
          <w:sz w:val="24"/>
          <w:szCs w:val="24"/>
          <w:shd w:val="clear" w:color="auto" w:fill="FFFFFF"/>
          <w:lang w:val="en-GB"/>
        </w:rPr>
        <w:t>&gt;.</w:t>
      </w:r>
    </w:p>
    <w:p w14:paraId="13A34AAF" w14:textId="2A0C35CA" w:rsidR="00D736EC" w:rsidRPr="00E52FA1" w:rsidRDefault="00D736EC" w:rsidP="003F398F">
      <w:pPr>
        <w:pStyle w:val="NoSpacing"/>
        <w:jc w:val="center"/>
        <w:rPr>
          <w:rFonts w:ascii="Times New Roman" w:hAnsi="Times New Roman" w:cs="Times New Roman"/>
          <w:i/>
          <w:sz w:val="24"/>
          <w:szCs w:val="24"/>
          <w:lang w:val="en-GB"/>
        </w:rPr>
      </w:pPr>
      <w:r w:rsidRPr="00E52FA1">
        <w:rPr>
          <w:rFonts w:ascii="Times New Roman" w:hAnsi="Times New Roman" w:cs="Times New Roman"/>
          <w:i/>
          <w:sz w:val="24"/>
          <w:szCs w:val="24"/>
          <w:lang w:val="en-GB"/>
        </w:rPr>
        <w:t xml:space="preserve">Paweł Kuglarz, Tatara and Partners, Poland. </w:t>
      </w:r>
      <w:r w:rsidRPr="00E52FA1">
        <w:rPr>
          <w:rFonts w:ascii="Times New Roman" w:hAnsi="Times New Roman" w:cs="Times New Roman"/>
          <w:i/>
          <w:iCs/>
          <w:sz w:val="24"/>
          <w:szCs w:val="24"/>
          <w:shd w:val="clear" w:color="auto" w:fill="FFFFFF"/>
          <w:lang w:val="en-GB"/>
        </w:rPr>
        <w:t>Email: &lt;</w:t>
      </w:r>
      <w:r w:rsidRPr="00E52FA1">
        <w:rPr>
          <w:rFonts w:ascii="Times New Roman" w:hAnsi="Times New Roman" w:cs="Times New Roman"/>
          <w:i/>
          <w:iCs/>
          <w:sz w:val="24"/>
          <w:szCs w:val="24"/>
          <w:lang w:val="en-GB"/>
        </w:rPr>
        <w:t>pawel.kuglarz@wp.pl</w:t>
      </w:r>
      <w:r w:rsidRPr="00E52FA1">
        <w:rPr>
          <w:rFonts w:ascii="Times New Roman" w:hAnsi="Times New Roman" w:cs="Times New Roman"/>
          <w:i/>
          <w:iCs/>
          <w:sz w:val="24"/>
          <w:szCs w:val="24"/>
          <w:shd w:val="clear" w:color="auto" w:fill="FFFFFF"/>
          <w:lang w:val="en-GB"/>
        </w:rPr>
        <w:t>&gt;</w:t>
      </w:r>
    </w:p>
    <w:p w14:paraId="716971A7" w14:textId="5C26573A" w:rsidR="00104015" w:rsidRPr="00E52FA1" w:rsidRDefault="00104015" w:rsidP="003F398F">
      <w:pPr>
        <w:pStyle w:val="NoSpacing"/>
        <w:jc w:val="center"/>
        <w:rPr>
          <w:rFonts w:ascii="Times New Roman" w:hAnsi="Times New Roman" w:cs="Times New Roman"/>
          <w:i/>
          <w:iCs/>
          <w:shd w:val="clear" w:color="auto" w:fill="FFFFFF"/>
          <w:lang w:val="en-GB"/>
        </w:rPr>
      </w:pPr>
    </w:p>
    <w:p w14:paraId="127C267D" w14:textId="77777777" w:rsidR="00E71E7B" w:rsidRPr="00E52FA1" w:rsidRDefault="00E71E7B" w:rsidP="003F398F">
      <w:pPr>
        <w:spacing w:after="0"/>
        <w:contextualSpacing/>
        <w:rPr>
          <w:rFonts w:ascii="Times New Roman" w:hAnsi="Times New Roman"/>
          <w:i/>
          <w:sz w:val="24"/>
          <w:szCs w:val="24"/>
        </w:rPr>
      </w:pPr>
    </w:p>
    <w:p w14:paraId="3FDD4E1F" w14:textId="3DA5C6B1" w:rsidR="00E71E7B" w:rsidRPr="00E52FA1" w:rsidRDefault="00E71E7B" w:rsidP="00D9454F">
      <w:pPr>
        <w:spacing w:after="0"/>
        <w:contextualSpacing/>
        <w:rPr>
          <w:rFonts w:ascii="Times New Roman" w:hAnsi="Times New Roman"/>
          <w:sz w:val="24"/>
          <w:szCs w:val="24"/>
        </w:rPr>
      </w:pPr>
      <w:r w:rsidRPr="00E52FA1">
        <w:rPr>
          <w:rFonts w:ascii="Times New Roman" w:hAnsi="Times New Roman"/>
          <w:i/>
          <w:iCs/>
          <w:sz w:val="24"/>
          <w:szCs w:val="24"/>
        </w:rPr>
        <w:t>Introduction</w:t>
      </w:r>
    </w:p>
    <w:p w14:paraId="2FDAC61F" w14:textId="77777777" w:rsidR="0016531A" w:rsidRPr="00E52FA1" w:rsidRDefault="0016531A" w:rsidP="00D9454F">
      <w:pPr>
        <w:spacing w:after="0"/>
        <w:rPr>
          <w:rStyle w:val="SubtleEmphasis"/>
          <w:rFonts w:ascii="Times New Roman" w:hAnsi="Times New Roman"/>
          <w:b w:val="0"/>
          <w:i w:val="0"/>
          <w:iCs w:val="0"/>
          <w:sz w:val="24"/>
          <w:szCs w:val="24"/>
        </w:rPr>
      </w:pPr>
    </w:p>
    <w:p w14:paraId="64D57660" w14:textId="076B2A02"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 xml:space="preserve">The topic of bankruptcy and bank resolution is currently being hotly debated in Poland, due to the high-profile bankruptcy proceedings of two large commercial banks – </w:t>
      </w:r>
      <w:r w:rsidRPr="00E52FA1">
        <w:rPr>
          <w:rFonts w:ascii="Times New Roman" w:hAnsi="Times New Roman"/>
          <w:i/>
          <w:iCs/>
          <w:sz w:val="24"/>
          <w:szCs w:val="24"/>
        </w:rPr>
        <w:t xml:space="preserve">Idea Bank S.A. </w:t>
      </w:r>
      <w:r w:rsidRPr="00E52FA1">
        <w:rPr>
          <w:rFonts w:ascii="Times New Roman" w:hAnsi="Times New Roman"/>
          <w:sz w:val="24"/>
          <w:szCs w:val="24"/>
        </w:rPr>
        <w:t xml:space="preserve">and </w:t>
      </w:r>
      <w:r w:rsidRPr="00E52FA1">
        <w:rPr>
          <w:rFonts w:ascii="Times New Roman" w:hAnsi="Times New Roman"/>
          <w:i/>
          <w:iCs/>
          <w:sz w:val="24"/>
          <w:szCs w:val="24"/>
        </w:rPr>
        <w:t>Getin Noble Bank S.A.</w:t>
      </w:r>
      <w:r w:rsidRPr="00E52FA1">
        <w:rPr>
          <w:rFonts w:ascii="Times New Roman" w:hAnsi="Times New Roman"/>
          <w:sz w:val="24"/>
          <w:szCs w:val="24"/>
        </w:rPr>
        <w:t>, both in bankruptcy. In both cases, solutions under EU law have previously been applied and provide, in this case, for solutions known from Directive 2014/59/EU</w:t>
      </w:r>
      <w:r w:rsidRPr="00E52FA1">
        <w:rPr>
          <w:rStyle w:val="FootnoteReference"/>
          <w:rFonts w:ascii="Times New Roman" w:hAnsi="Times New Roman"/>
          <w:sz w:val="24"/>
          <w:szCs w:val="24"/>
        </w:rPr>
        <w:footnoteReference w:id="1"/>
      </w:r>
      <w:r w:rsidRPr="00E52FA1">
        <w:rPr>
          <w:rFonts w:ascii="Times New Roman" w:hAnsi="Times New Roman"/>
          <w:sz w:val="24"/>
          <w:szCs w:val="24"/>
        </w:rPr>
        <w:t>– the so-called BRR Directive.</w:t>
      </w:r>
    </w:p>
    <w:p w14:paraId="0AB9BCF0" w14:textId="2349FE32" w:rsidR="00D9454F" w:rsidRPr="00E52FA1" w:rsidRDefault="00D9454F" w:rsidP="00D9454F">
      <w:pPr>
        <w:spacing w:after="0"/>
        <w:rPr>
          <w:rFonts w:ascii="Times New Roman" w:hAnsi="Times New Roman"/>
          <w:sz w:val="24"/>
          <w:szCs w:val="24"/>
        </w:rPr>
      </w:pPr>
    </w:p>
    <w:p w14:paraId="0732D6F9" w14:textId="446DB472"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The manner in which these proceedings were conducted leads to the conclusion that the BRR Directive correctly and properly addressed the issues of interest. However, not all aspects have gone smoothly, as evidenced, for example, by the numerous consumer complaints about resolution in Poland.</w:t>
      </w:r>
    </w:p>
    <w:p w14:paraId="3FB056C6" w14:textId="77777777" w:rsidR="00D9454F" w:rsidRPr="00E52FA1" w:rsidRDefault="00D9454F" w:rsidP="00D9454F">
      <w:pPr>
        <w:spacing w:after="0"/>
        <w:rPr>
          <w:rFonts w:ascii="Times New Roman" w:hAnsi="Times New Roman"/>
          <w:sz w:val="24"/>
          <w:szCs w:val="24"/>
        </w:rPr>
      </w:pPr>
    </w:p>
    <w:p w14:paraId="68A98427" w14:textId="293065BA" w:rsidR="00D9454F" w:rsidRPr="00E52FA1" w:rsidRDefault="00D9454F" w:rsidP="00D9454F">
      <w:pPr>
        <w:spacing w:after="0"/>
        <w:rPr>
          <w:rFonts w:ascii="Times New Roman" w:hAnsi="Times New Roman"/>
          <w:i/>
          <w:iCs/>
          <w:sz w:val="24"/>
          <w:szCs w:val="24"/>
        </w:rPr>
      </w:pPr>
      <w:r w:rsidRPr="00E52FA1">
        <w:rPr>
          <w:rFonts w:ascii="Times New Roman" w:hAnsi="Times New Roman"/>
          <w:i/>
          <w:iCs/>
          <w:sz w:val="24"/>
          <w:szCs w:val="24"/>
        </w:rPr>
        <w:t>A</w:t>
      </w:r>
      <w:r w:rsidR="00E52FA1" w:rsidRPr="00E52FA1">
        <w:rPr>
          <w:rFonts w:ascii="Times New Roman" w:hAnsi="Times New Roman"/>
          <w:i/>
          <w:iCs/>
          <w:sz w:val="24"/>
          <w:szCs w:val="24"/>
        </w:rPr>
        <w:t xml:space="preserve"> Creditors’ Ombudsman: A</w:t>
      </w:r>
      <w:r w:rsidRPr="00E52FA1">
        <w:rPr>
          <w:rFonts w:ascii="Times New Roman" w:hAnsi="Times New Roman"/>
          <w:i/>
          <w:iCs/>
          <w:sz w:val="24"/>
          <w:szCs w:val="24"/>
        </w:rPr>
        <w:t xml:space="preserve"> Possible Remedy</w:t>
      </w:r>
    </w:p>
    <w:p w14:paraId="1BD6AD10" w14:textId="77777777" w:rsidR="00D9454F" w:rsidRPr="00E52FA1" w:rsidRDefault="00D9454F" w:rsidP="00D9454F">
      <w:pPr>
        <w:spacing w:after="0"/>
        <w:rPr>
          <w:rFonts w:ascii="Times New Roman" w:hAnsi="Times New Roman"/>
          <w:sz w:val="24"/>
          <w:szCs w:val="24"/>
        </w:rPr>
      </w:pPr>
    </w:p>
    <w:p w14:paraId="1B84A657" w14:textId="5E75574F"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A remedy to these problems may be the institution of a creditors’ ombudsman, which can be conceived along the lines of a curator for bondholders - familiar from both bankruptcy and restructuring law. Such a superintendent could represent creditors, especially those with similar interests, and the presence of a single entity would certainly streamline the conduct of proceedings - which, after all, are not infrequently very complex and almost always multifaceted.</w:t>
      </w:r>
    </w:p>
    <w:p w14:paraId="6CCAB241" w14:textId="77777777" w:rsidR="00D9454F" w:rsidRPr="00E52FA1" w:rsidRDefault="00D9454F" w:rsidP="00D9454F">
      <w:pPr>
        <w:spacing w:after="0"/>
        <w:rPr>
          <w:rFonts w:ascii="Times New Roman" w:hAnsi="Times New Roman"/>
          <w:sz w:val="24"/>
          <w:szCs w:val="24"/>
        </w:rPr>
      </w:pPr>
    </w:p>
    <w:p w14:paraId="4AEE0589" w14:textId="3F1B5A54"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lastRenderedPageBreak/>
        <w:t>A similar solution is found in Austrian law and can be partly followed, when reflecting on the introduction of this institution in Poland. A mechanism to protect the rights of creditors who do not necessarily wish to be represented by such an ombudsman requires deeper analysis. Following the example of solutions in Article 484(1) of the Bankruptcy Law (Austria) or Article 363(1) of the Restructuring Law (Austria) - a mechanism for exclusion from guardianship and independent representation should be provided for.</w:t>
      </w:r>
    </w:p>
    <w:p w14:paraId="1B3F5D67" w14:textId="77777777" w:rsidR="00D9454F" w:rsidRPr="00E52FA1" w:rsidRDefault="00D9454F" w:rsidP="00D9454F">
      <w:pPr>
        <w:spacing w:after="0"/>
        <w:rPr>
          <w:rFonts w:ascii="Times New Roman" w:hAnsi="Times New Roman"/>
          <w:sz w:val="24"/>
          <w:szCs w:val="24"/>
        </w:rPr>
      </w:pPr>
    </w:p>
    <w:p w14:paraId="363A2574" w14:textId="26D5EB29"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In our view, such a mechanism should include judicial review - exercised by the Judge-Commissioner. An important aspect of this institution is the postulated extension of the competence of this type of ombudsman to also act in other proceedings that are related - or closely related - to the ongoing resolution or insolvency of a bank or other financial institution.</w:t>
      </w:r>
    </w:p>
    <w:p w14:paraId="1F6D9D04" w14:textId="77777777" w:rsidR="00D9454F" w:rsidRPr="00E52FA1" w:rsidRDefault="00D9454F" w:rsidP="00D9454F">
      <w:pPr>
        <w:spacing w:after="0"/>
        <w:rPr>
          <w:rFonts w:ascii="Times New Roman" w:hAnsi="Times New Roman"/>
          <w:sz w:val="24"/>
          <w:szCs w:val="24"/>
        </w:rPr>
      </w:pPr>
    </w:p>
    <w:p w14:paraId="0DC28C8A" w14:textId="6C2A8C92"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 xml:space="preserve">The argument that a large number of creditors significantly prolongs proceedings, even if the whole process is handled by a well-functioning ICT system, deserves additional attention. In our view, such an ombudsman could, for example, conduct </w:t>
      </w:r>
      <w:r w:rsidRPr="00E52FA1">
        <w:rPr>
          <w:rFonts w:ascii="Times New Roman" w:hAnsi="Times New Roman"/>
          <w:i/>
          <w:iCs/>
          <w:sz w:val="24"/>
          <w:szCs w:val="24"/>
        </w:rPr>
        <w:t>actio pauliana</w:t>
      </w:r>
      <w:r w:rsidRPr="00E52FA1">
        <w:rPr>
          <w:rFonts w:ascii="Times New Roman" w:hAnsi="Times New Roman"/>
          <w:sz w:val="24"/>
          <w:szCs w:val="24"/>
        </w:rPr>
        <w:t xml:space="preserve"> complaints related to the main bankruptcy (or resolution) proceedings, could also file a claim in the bankruptcy proceedings, and the issue of negotiating with the debtor bank or other financial institution could rest on his organisational shoulders.</w:t>
      </w:r>
    </w:p>
    <w:p w14:paraId="375FBA3F" w14:textId="77777777" w:rsidR="00D9454F" w:rsidRPr="00E52FA1" w:rsidRDefault="00D9454F" w:rsidP="00D9454F">
      <w:pPr>
        <w:spacing w:after="0"/>
        <w:rPr>
          <w:rFonts w:ascii="Times New Roman" w:hAnsi="Times New Roman"/>
          <w:sz w:val="24"/>
          <w:szCs w:val="24"/>
        </w:rPr>
      </w:pPr>
    </w:p>
    <w:p w14:paraId="7B964C71" w14:textId="6E78CA71"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However, the necessity to ensure adequate remuneration for this type of ombudsman must not be overlooked, as a significant disadvantage of the institution of a guardian for bondholders is that the remuneration of such a guardian remains at a relatively low level, which significantly demotivates the most competent persons or entities. This has to do with the need to observe the highest standards in such proceedings.</w:t>
      </w:r>
    </w:p>
    <w:p w14:paraId="2AFB3CCD" w14:textId="77777777" w:rsidR="00D9454F" w:rsidRPr="00E52FA1" w:rsidRDefault="00D9454F" w:rsidP="00D9454F">
      <w:pPr>
        <w:spacing w:after="0"/>
        <w:rPr>
          <w:rFonts w:ascii="Times New Roman" w:hAnsi="Times New Roman"/>
          <w:sz w:val="24"/>
          <w:szCs w:val="24"/>
        </w:rPr>
      </w:pPr>
    </w:p>
    <w:p w14:paraId="4FFF81BD" w14:textId="6B92297F"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Thus, the remuneration of such a creditors’ ombudsman, could be correlated to the number of entities - creditors - that the ombudsman would represent; and the size of the bank’s insolvency estate, as well as the length of time it would take to conduct it, and a percentage of the total creditors’ recovery. Only incentives of this kind will lead to interest in having such a function performed by entities qualified and experienced to the highest degree of competence and standards, which will avoid mistakes that can have very far-reaching consequences.</w:t>
      </w:r>
    </w:p>
    <w:p w14:paraId="614EE64B" w14:textId="77777777" w:rsidR="00D9454F" w:rsidRPr="00E52FA1" w:rsidRDefault="00D9454F" w:rsidP="00D9454F">
      <w:pPr>
        <w:spacing w:after="0"/>
        <w:rPr>
          <w:rFonts w:ascii="Times New Roman" w:hAnsi="Times New Roman"/>
          <w:sz w:val="24"/>
          <w:szCs w:val="24"/>
        </w:rPr>
      </w:pPr>
    </w:p>
    <w:p w14:paraId="1820FEB6" w14:textId="2AE5C083"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The implications of the above postulate should lead to the conclusion that the creditors’ ombudsman should be able to account for (and recover costs) for the involvement of external advisors, of course under the supervision of the Judge-Commissioner, who could, for example, verify the fees of the advisors, also taking into account the issues of competence, experience, team and qualifications of the ombudsman himself - especially if this would be, for example, another financial institution or a very experienced advisor, often with international competence and background.</w:t>
      </w:r>
    </w:p>
    <w:p w14:paraId="4B171F55" w14:textId="77777777" w:rsidR="00D9454F" w:rsidRPr="00E52FA1" w:rsidRDefault="00D9454F" w:rsidP="00D9454F">
      <w:pPr>
        <w:spacing w:after="0"/>
        <w:rPr>
          <w:rFonts w:ascii="Times New Roman" w:hAnsi="Times New Roman"/>
          <w:sz w:val="24"/>
          <w:szCs w:val="24"/>
        </w:rPr>
      </w:pPr>
    </w:p>
    <w:p w14:paraId="44D857CB" w14:textId="5119CD21"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The concern to ensure the highest standards and the correctness of the actions taken, as well as full compliance with all relevant regulations, is also reflected in the avoidance of situations that may jeopardise the proceedings, e.g. for a longer period of time, resulting in a lower degree of satisfaction and understandable concern on the part of the participants in insolvency proceedings.</w:t>
      </w:r>
    </w:p>
    <w:p w14:paraId="65DF4F3E" w14:textId="77777777" w:rsidR="00D9454F" w:rsidRPr="00E52FA1" w:rsidRDefault="00D9454F" w:rsidP="00D9454F">
      <w:pPr>
        <w:spacing w:after="0"/>
        <w:rPr>
          <w:rFonts w:ascii="Times New Roman" w:hAnsi="Times New Roman"/>
          <w:sz w:val="24"/>
          <w:szCs w:val="24"/>
        </w:rPr>
      </w:pPr>
    </w:p>
    <w:p w14:paraId="3AACF21E" w14:textId="42EFD8B6"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As an aside, it is worth mentioning that bankruptcy and restructuring proceedings in Poland take a relatively long time anyway - also in comparison with other EU countries, or with global standards and statistics in general.</w:t>
      </w:r>
    </w:p>
    <w:p w14:paraId="0F38B145" w14:textId="77777777" w:rsidR="00D9454F" w:rsidRPr="00E52FA1" w:rsidRDefault="00D9454F" w:rsidP="00D9454F">
      <w:pPr>
        <w:spacing w:after="0"/>
        <w:rPr>
          <w:rFonts w:ascii="Times New Roman" w:hAnsi="Times New Roman"/>
          <w:sz w:val="24"/>
          <w:szCs w:val="24"/>
        </w:rPr>
      </w:pPr>
    </w:p>
    <w:p w14:paraId="3B01231C" w14:textId="321AAF16" w:rsidR="00D9454F" w:rsidRPr="00E52FA1" w:rsidRDefault="00D9454F" w:rsidP="00D9454F">
      <w:pPr>
        <w:spacing w:after="0"/>
        <w:rPr>
          <w:rFonts w:ascii="Times New Roman" w:hAnsi="Times New Roman"/>
          <w:i/>
          <w:iCs/>
          <w:sz w:val="24"/>
          <w:szCs w:val="24"/>
        </w:rPr>
      </w:pPr>
      <w:r w:rsidRPr="00E52FA1">
        <w:rPr>
          <w:rFonts w:ascii="Times New Roman" w:hAnsi="Times New Roman"/>
          <w:i/>
          <w:iCs/>
          <w:sz w:val="24"/>
          <w:szCs w:val="24"/>
        </w:rPr>
        <w:t>Reflections in the Getin Case</w:t>
      </w:r>
    </w:p>
    <w:p w14:paraId="3D74D646" w14:textId="77777777" w:rsidR="00D9454F" w:rsidRPr="00E52FA1" w:rsidRDefault="00D9454F" w:rsidP="00D9454F">
      <w:pPr>
        <w:spacing w:after="0"/>
        <w:rPr>
          <w:rFonts w:ascii="Times New Roman" w:hAnsi="Times New Roman"/>
          <w:sz w:val="24"/>
          <w:szCs w:val="24"/>
        </w:rPr>
      </w:pPr>
    </w:p>
    <w:p w14:paraId="17D14DE8" w14:textId="472CBFAC"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 xml:space="preserve">In order to ensure the compliance signalled above, it is worth envisaging unusual situations in which the Ombudsman’s involvement would be desirable. Reflections in this context may be examined in detail in the context of </w:t>
      </w:r>
      <w:r w:rsidR="00E52FA1">
        <w:rPr>
          <w:rFonts w:ascii="Times New Roman" w:hAnsi="Times New Roman"/>
          <w:sz w:val="24"/>
          <w:szCs w:val="24"/>
        </w:rPr>
        <w:t xml:space="preserve">the </w:t>
      </w:r>
      <w:r w:rsidR="00E52FA1" w:rsidRPr="00E52FA1">
        <w:rPr>
          <w:rFonts w:ascii="Times New Roman" w:hAnsi="Times New Roman"/>
          <w:i/>
          <w:iCs/>
          <w:sz w:val="24"/>
          <w:szCs w:val="24"/>
        </w:rPr>
        <w:t>Getin</w:t>
      </w:r>
      <w:r w:rsidR="00E52FA1">
        <w:rPr>
          <w:rFonts w:ascii="Times New Roman" w:hAnsi="Times New Roman"/>
          <w:sz w:val="24"/>
          <w:szCs w:val="24"/>
        </w:rPr>
        <w:t xml:space="preserve"> </w:t>
      </w:r>
      <w:r w:rsidRPr="00E52FA1">
        <w:rPr>
          <w:rFonts w:ascii="Times New Roman" w:hAnsi="Times New Roman"/>
          <w:sz w:val="24"/>
          <w:szCs w:val="24"/>
        </w:rPr>
        <w:t>case</w:t>
      </w:r>
      <w:r w:rsidR="00E52FA1">
        <w:rPr>
          <w:rFonts w:ascii="Times New Roman" w:hAnsi="Times New Roman"/>
          <w:sz w:val="24"/>
          <w:szCs w:val="24"/>
        </w:rPr>
        <w:t>, which came</w:t>
      </w:r>
      <w:r w:rsidRPr="00E52FA1">
        <w:rPr>
          <w:rFonts w:ascii="Times New Roman" w:hAnsi="Times New Roman"/>
          <w:sz w:val="24"/>
          <w:szCs w:val="24"/>
        </w:rPr>
        <w:t xml:space="preserve"> before the Court of Justice of the European Union in 2023 and is </w:t>
      </w:r>
      <w:r w:rsidR="00E52FA1">
        <w:rPr>
          <w:rFonts w:ascii="Times New Roman" w:hAnsi="Times New Roman"/>
          <w:sz w:val="24"/>
          <w:szCs w:val="24"/>
        </w:rPr>
        <w:t xml:space="preserve">still </w:t>
      </w:r>
      <w:r w:rsidRPr="00E52FA1">
        <w:rPr>
          <w:rFonts w:ascii="Times New Roman" w:hAnsi="Times New Roman"/>
          <w:sz w:val="24"/>
          <w:szCs w:val="24"/>
        </w:rPr>
        <w:t>currently pending</w:t>
      </w:r>
      <w:r w:rsidR="00E52FA1">
        <w:rPr>
          <w:rFonts w:ascii="Times New Roman" w:hAnsi="Times New Roman"/>
          <w:sz w:val="24"/>
          <w:szCs w:val="24"/>
        </w:rPr>
        <w:t>. In this case,</w:t>
      </w:r>
      <w:r w:rsidRPr="00E52FA1">
        <w:rPr>
          <w:rFonts w:ascii="Times New Roman" w:hAnsi="Times New Roman"/>
          <w:sz w:val="24"/>
          <w:szCs w:val="24"/>
        </w:rPr>
        <w:t xml:space="preserve"> the Regional (Voivodship) Administrative Court in Warsaw referred the following questions to the CJEU for a preliminary ruling:</w:t>
      </w:r>
    </w:p>
    <w:p w14:paraId="6714A079" w14:textId="77777777" w:rsidR="00D9454F" w:rsidRPr="00E52FA1" w:rsidRDefault="00D9454F" w:rsidP="00D9454F">
      <w:pPr>
        <w:spacing w:after="0"/>
        <w:rPr>
          <w:rFonts w:ascii="Times New Roman" w:hAnsi="Times New Roman"/>
          <w:sz w:val="24"/>
          <w:szCs w:val="24"/>
        </w:rPr>
      </w:pPr>
    </w:p>
    <w:p w14:paraId="53A66B10" w14:textId="77777777" w:rsidR="00D9454F" w:rsidRPr="00E52FA1" w:rsidRDefault="00D9454F" w:rsidP="00E724C5">
      <w:pPr>
        <w:pStyle w:val="ListParagraph"/>
        <w:numPr>
          <w:ilvl w:val="0"/>
          <w:numId w:val="7"/>
        </w:numPr>
        <w:spacing w:after="0"/>
        <w:jc w:val="both"/>
        <w:rPr>
          <w:rFonts w:ascii="Times New Roman" w:hAnsi="Times New Roman" w:cs="Times New Roman"/>
          <w:sz w:val="24"/>
          <w:szCs w:val="24"/>
          <w:lang w:val="en-GB"/>
        </w:rPr>
      </w:pPr>
      <w:r w:rsidRPr="00E52FA1">
        <w:rPr>
          <w:rFonts w:ascii="Times New Roman" w:hAnsi="Times New Roman" w:cs="Times New Roman"/>
          <w:sz w:val="24"/>
          <w:szCs w:val="24"/>
          <w:lang w:val="en-GB"/>
        </w:rPr>
        <w:t xml:space="preserve">Is Article 85(2) and (3) of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(OJ 2014 L 173, p. 190, as amended), in conjunction with Article 47 of the Charter of Fundamental Rights of the European Union (OJ 2007 C 303, p. 1), and the second paragraph of Article 19(1) of the Treaty on European Union (Dz. U. of 2004, No 90, item 864/30, as amended), to be interpreted as meaning that, when the supervisory board of an entity undergoing restructuring brings an action before a national administrative court against a decision concerning compulsory restructuring, an effective legal remedy is deemed to be available also to persons who, in bringing an action against that decision, seek protection of their legal interest, where the court, in reviewing the contested decision, is not bound by the pleas in law and conclusions of the action or the legal basis relied on, a final judgment, given as a result of hearing that action, is effective </w:t>
      </w:r>
      <w:r w:rsidRPr="00E52FA1">
        <w:rPr>
          <w:rFonts w:ascii="Times New Roman" w:hAnsi="Times New Roman" w:cs="Times New Roman"/>
          <w:i/>
          <w:iCs/>
          <w:sz w:val="24"/>
          <w:szCs w:val="24"/>
          <w:lang w:val="en-GB"/>
        </w:rPr>
        <w:t>erga omnes</w:t>
      </w:r>
      <w:r w:rsidRPr="00E52FA1">
        <w:rPr>
          <w:rFonts w:ascii="Times New Roman" w:hAnsi="Times New Roman" w:cs="Times New Roman"/>
          <w:sz w:val="24"/>
          <w:szCs w:val="24"/>
          <w:lang w:val="en-GB"/>
        </w:rPr>
        <w:t>, and the possibility for those persons obtaining protection of their legal interest is not conditional on them bringing a separate action before an administrative court against that decision?</w:t>
      </w:r>
    </w:p>
    <w:p w14:paraId="32661DFA" w14:textId="77777777" w:rsidR="00D9454F" w:rsidRPr="00E52FA1" w:rsidRDefault="00D9454F" w:rsidP="00E724C5">
      <w:pPr>
        <w:pStyle w:val="ListParagraph"/>
        <w:numPr>
          <w:ilvl w:val="0"/>
          <w:numId w:val="7"/>
        </w:numPr>
        <w:spacing w:after="0"/>
        <w:jc w:val="both"/>
        <w:rPr>
          <w:rFonts w:ascii="Times New Roman" w:hAnsi="Times New Roman" w:cs="Times New Roman"/>
          <w:sz w:val="24"/>
          <w:szCs w:val="24"/>
          <w:lang w:val="en-GB"/>
        </w:rPr>
      </w:pPr>
      <w:r w:rsidRPr="00E52FA1">
        <w:rPr>
          <w:rFonts w:ascii="Times New Roman" w:hAnsi="Times New Roman" w:cs="Times New Roman"/>
          <w:sz w:val="24"/>
          <w:szCs w:val="24"/>
          <w:lang w:val="en-GB"/>
        </w:rPr>
        <w:t>Is Article 85(3) of Directive 2014/59/EU, which requires effective judicial review, and Article 47 of the Charter of Fundamental Rights of the European Union, and the second subparagraph of Article 19(1) of the Treaty on European Union, which provide for effective legal protection, to be interpreted as precluding the application of a procedural rule of a Member State which requires a national administrative court to hear jointly all actions brought before it against a decision of a resolution authority where the application of that rule, together with other national procedural requirements relating to administrative courts, makes it excessively difficult, if not impossible, to give judgment in the case within a reasonable period, in view of the large number of such actions?</w:t>
      </w:r>
    </w:p>
    <w:p w14:paraId="1298DF82" w14:textId="77777777" w:rsidR="00D9454F" w:rsidRPr="00E52FA1" w:rsidRDefault="00D9454F" w:rsidP="00E724C5">
      <w:pPr>
        <w:pStyle w:val="ListParagraph"/>
        <w:numPr>
          <w:ilvl w:val="0"/>
          <w:numId w:val="7"/>
        </w:numPr>
        <w:spacing w:after="0"/>
        <w:jc w:val="both"/>
        <w:rPr>
          <w:rFonts w:ascii="Times New Roman" w:hAnsi="Times New Roman" w:cs="Times New Roman"/>
          <w:sz w:val="24"/>
          <w:szCs w:val="24"/>
          <w:lang w:val="en-GB"/>
        </w:rPr>
      </w:pPr>
      <w:r w:rsidRPr="00E52FA1">
        <w:rPr>
          <w:rFonts w:ascii="Times New Roman" w:hAnsi="Times New Roman" w:cs="Times New Roman"/>
          <w:sz w:val="24"/>
          <w:szCs w:val="24"/>
          <w:lang w:val="en-GB"/>
        </w:rPr>
        <w:t>Is Article 3(3) of Directive 2014/59/EU be interpreted as permitting a Member State – in order to ensure operational independence and avoid conflicts of interest – not to separate structurally the functions of the resolution authority from the other functions of that authority as statutory guarantor of bank deposits or bank insolvency administrator (temporary administrator) appointed pursuant to a decision of the competent national authority for supervision for the purposes of Regulation (EU) No 575/2013 and Directive 2013/36/EU?</w:t>
      </w:r>
    </w:p>
    <w:p w14:paraId="0DC32FFB" w14:textId="77777777" w:rsidR="00D9454F" w:rsidRPr="00E52FA1" w:rsidRDefault="00D9454F" w:rsidP="00E724C5">
      <w:pPr>
        <w:pStyle w:val="ListParagraph"/>
        <w:numPr>
          <w:ilvl w:val="0"/>
          <w:numId w:val="7"/>
        </w:numPr>
        <w:spacing w:after="0"/>
        <w:jc w:val="both"/>
        <w:rPr>
          <w:rFonts w:ascii="Times New Roman" w:hAnsi="Times New Roman" w:cs="Times New Roman"/>
          <w:sz w:val="24"/>
          <w:szCs w:val="24"/>
          <w:lang w:val="en-GB"/>
        </w:rPr>
      </w:pPr>
      <w:r w:rsidRPr="00E52FA1">
        <w:rPr>
          <w:rFonts w:ascii="Times New Roman" w:hAnsi="Times New Roman" w:cs="Times New Roman"/>
          <w:sz w:val="24"/>
          <w:szCs w:val="24"/>
          <w:lang w:val="en-GB"/>
        </w:rPr>
        <w:lastRenderedPageBreak/>
        <w:t>Is Article 3(3) of Directive 2014/59/EU to be interpreted as meaning that, where a Member State fails to fulfil its obligation to put in place adequate structural arrangements to ensure operational independence and avoid conflicts of interest between the functions of supervision under Regulation (EU) No 575/2013 and Directive 2013/36/EU or other functions of the relevant authority and the functions of the resolution authority, the condition relating operational independence and avoidance of conflicts of interest may be deemed to be satisfied if the national administrative court reviewing the decision concerning compulsory restructuring finds that the other administrative arrangements made were sufficient to achieve that effect?</w:t>
      </w:r>
    </w:p>
    <w:p w14:paraId="1C08245B" w14:textId="77777777" w:rsidR="00D9454F" w:rsidRPr="00E52FA1" w:rsidRDefault="00D9454F" w:rsidP="00D9454F">
      <w:pPr>
        <w:spacing w:after="0"/>
        <w:rPr>
          <w:rFonts w:ascii="Times New Roman" w:hAnsi="Times New Roman"/>
          <w:sz w:val="24"/>
          <w:szCs w:val="24"/>
        </w:rPr>
      </w:pPr>
    </w:p>
    <w:p w14:paraId="14147B0A" w14:textId="7A25D525"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The above questions, were answered in the following manner:</w:t>
      </w:r>
    </w:p>
    <w:p w14:paraId="186EF88F" w14:textId="77777777" w:rsidR="00D9454F" w:rsidRPr="00E52FA1" w:rsidRDefault="00D9454F" w:rsidP="00D9454F">
      <w:pPr>
        <w:spacing w:after="0"/>
        <w:rPr>
          <w:rFonts w:ascii="Times New Roman" w:hAnsi="Times New Roman"/>
          <w:sz w:val="24"/>
          <w:szCs w:val="24"/>
        </w:rPr>
      </w:pPr>
    </w:p>
    <w:p w14:paraId="4443341C" w14:textId="77777777" w:rsidR="00D9454F" w:rsidRPr="00E52FA1" w:rsidRDefault="00D9454F" w:rsidP="00E724C5">
      <w:pPr>
        <w:pStyle w:val="ListParagraph"/>
        <w:numPr>
          <w:ilvl w:val="0"/>
          <w:numId w:val="8"/>
        </w:numPr>
        <w:spacing w:after="0"/>
        <w:jc w:val="both"/>
        <w:rPr>
          <w:rFonts w:ascii="Times New Roman" w:hAnsi="Times New Roman" w:cs="Times New Roman"/>
          <w:sz w:val="24"/>
          <w:szCs w:val="24"/>
          <w:lang w:val="en-GB"/>
        </w:rPr>
      </w:pPr>
      <w:r w:rsidRPr="00E52FA1">
        <w:rPr>
          <w:rFonts w:ascii="Times New Roman" w:hAnsi="Times New Roman" w:cs="Times New Roman"/>
          <w:sz w:val="24"/>
          <w:szCs w:val="24"/>
          <w:lang w:val="en-GB"/>
        </w:rPr>
        <w:t>Article 47 of the Charter of Fundamental Rights of the European Union must be interpreted as precluding the application of a national procedural rule under which a court with jurisdiction to hear actions against the decision of the national resolution authority to take a crisis management measure must join all the actions brought before it against that decision, where the application of that rule infringes the right to a hearing within a reasonable time.</w:t>
      </w:r>
    </w:p>
    <w:p w14:paraId="16A6D4F9" w14:textId="77777777" w:rsidR="00D9454F" w:rsidRPr="00E52FA1" w:rsidRDefault="00D9454F" w:rsidP="00E724C5">
      <w:pPr>
        <w:pStyle w:val="ListParagraph"/>
        <w:numPr>
          <w:ilvl w:val="0"/>
          <w:numId w:val="8"/>
        </w:numPr>
        <w:spacing w:after="0"/>
        <w:jc w:val="both"/>
        <w:rPr>
          <w:rFonts w:ascii="Times New Roman" w:hAnsi="Times New Roman" w:cs="Times New Roman"/>
          <w:sz w:val="24"/>
          <w:szCs w:val="24"/>
          <w:lang w:val="en-GB"/>
        </w:rPr>
      </w:pPr>
      <w:r w:rsidRPr="00E52FA1">
        <w:rPr>
          <w:rFonts w:ascii="Times New Roman" w:hAnsi="Times New Roman" w:cs="Times New Roman"/>
          <w:sz w:val="24"/>
          <w:szCs w:val="24"/>
          <w:lang w:val="en-GB"/>
        </w:rPr>
        <w:t>Article 85(3) of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as amended in turn by Directive (EU) 2019/879 of the European Parliament and of the Council of 20 May 2019, in conjunction with Article 47 of the Charter of Fundamental Rights of the European Union, must be interpreted as meaning that, where a national court has been seised of more than one action against the decision of the national resolution authority to take a crisis management measure, and one of those actions was brought by an organ of the institution under resolution, the dismissal as unfounded of that one action alone does not permit the inference that respect for the right to an effective remedy has been ensured with regard to any other persons affected by that decision which have also brought actions against it, relying on pleas which have not been taken into account in the judgment given and which, in any event, have not been the subject of an exchange of arguments which enabled those persons to present their case.</w:t>
      </w:r>
    </w:p>
    <w:p w14:paraId="4488FF07" w14:textId="77777777" w:rsidR="00D9454F" w:rsidRPr="00E52FA1" w:rsidRDefault="00D9454F" w:rsidP="00E724C5">
      <w:pPr>
        <w:pStyle w:val="ListParagraph"/>
        <w:numPr>
          <w:ilvl w:val="0"/>
          <w:numId w:val="8"/>
        </w:numPr>
        <w:spacing w:after="0"/>
        <w:jc w:val="both"/>
        <w:rPr>
          <w:rFonts w:ascii="Times New Roman" w:hAnsi="Times New Roman" w:cs="Times New Roman"/>
          <w:sz w:val="24"/>
          <w:szCs w:val="24"/>
          <w:lang w:val="en-GB"/>
        </w:rPr>
      </w:pPr>
      <w:r w:rsidRPr="00E52FA1">
        <w:rPr>
          <w:rFonts w:ascii="Times New Roman" w:hAnsi="Times New Roman" w:cs="Times New Roman"/>
          <w:sz w:val="24"/>
          <w:szCs w:val="24"/>
          <w:lang w:val="en-GB"/>
        </w:rPr>
        <w:t>Article 3(3) of Directive 2014/59, as amended by Directive 2019/879, must be interpreted as meaning that that provision is applicable in a situation in which the national resolution authority also performs functions as a temporary administrator within the meaning of Article 29 of that directive, as amended, or deposit guarantee functions within the meaning of Directive 2014/49/EU of the European Parliament and of the Council of 16 April 2014 on deposit guarantee schemes, with the effect that it requires structural arrangements to be made in order to ensure the operational independence of that authority and to avoid any conflict of interest in relation to those functions.</w:t>
      </w:r>
    </w:p>
    <w:p w14:paraId="4799C76E" w14:textId="520447D3" w:rsidR="00D9454F" w:rsidRPr="00E52FA1" w:rsidRDefault="00D9454F" w:rsidP="00E724C5">
      <w:pPr>
        <w:pStyle w:val="ListParagraph"/>
        <w:numPr>
          <w:ilvl w:val="0"/>
          <w:numId w:val="8"/>
        </w:numPr>
        <w:spacing w:after="0"/>
        <w:jc w:val="both"/>
        <w:rPr>
          <w:rFonts w:ascii="Times New Roman" w:hAnsi="Times New Roman" w:cs="Times New Roman"/>
          <w:sz w:val="24"/>
          <w:szCs w:val="24"/>
          <w:lang w:val="en-GB"/>
        </w:rPr>
      </w:pPr>
      <w:r w:rsidRPr="00E52FA1">
        <w:rPr>
          <w:rFonts w:ascii="Times New Roman" w:hAnsi="Times New Roman" w:cs="Times New Roman"/>
          <w:sz w:val="24"/>
          <w:szCs w:val="24"/>
          <w:lang w:val="en-GB"/>
        </w:rPr>
        <w:t xml:space="preserve">Article 3(3) of Directive 2014/59, as amended by Directive 2019/879, must be interpreted as meaning that, where the national resolution authority also performs ‘functions of supervision’ or ‘other functions’ within the meaning of that provision, </w:t>
      </w:r>
      <w:r w:rsidRPr="00E52FA1">
        <w:rPr>
          <w:rFonts w:ascii="Times New Roman" w:hAnsi="Times New Roman" w:cs="Times New Roman"/>
          <w:sz w:val="24"/>
          <w:szCs w:val="24"/>
          <w:lang w:val="en-GB"/>
        </w:rPr>
        <w:lastRenderedPageBreak/>
        <w:t>and where there are no written internal rules intended to ensure the operational independence of that authority and prevent conflicts of interest between its resolution functions and its other functions, there can nevertheless be compliance with those requirements as the result of the introduction of organisational and other measures that are sufficient for that purpose. That provision does not mean, however, that decisions relating to resolution functions and those relating to the other functions of that authority must be made by different decision-making bodies, or that internal functional areas of the same authority are prevented from providing support services both to staff assigned to resolution functions and to staff assigned to other functions, without prejudice to rules on professional secrecy. Where written internal rules provided for in that provision exist, the fact that they are not published does not automatically invalidate decisions made by the resolution authority but means, where appropriate, in the event of actions against a decision of that authority, that it is for the latter to establish that those rules were complied with, and that the decision in question was accordingly made exclusively in order to achieve one or more resolution objectives.</w:t>
      </w:r>
    </w:p>
    <w:p w14:paraId="1DE62788" w14:textId="77777777" w:rsidR="00D9454F" w:rsidRPr="00E52FA1" w:rsidRDefault="00D9454F" w:rsidP="00D9454F">
      <w:pPr>
        <w:spacing w:after="0"/>
        <w:rPr>
          <w:rFonts w:ascii="Times New Roman" w:hAnsi="Times New Roman"/>
          <w:sz w:val="24"/>
          <w:szCs w:val="24"/>
        </w:rPr>
      </w:pPr>
    </w:p>
    <w:p w14:paraId="71849AE1" w14:textId="67A2682C"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The questions themselves also revolve around the important issue of the efficiency of insolvency proceedings</w:t>
      </w:r>
      <w:r w:rsidR="00E52FA1">
        <w:rPr>
          <w:rFonts w:ascii="Times New Roman" w:hAnsi="Times New Roman"/>
          <w:sz w:val="24"/>
          <w:szCs w:val="24"/>
        </w:rPr>
        <w:t>. As such,</w:t>
      </w:r>
      <w:r w:rsidRPr="00E52FA1">
        <w:rPr>
          <w:rFonts w:ascii="Times New Roman" w:hAnsi="Times New Roman"/>
          <w:sz w:val="24"/>
          <w:szCs w:val="24"/>
        </w:rPr>
        <w:t xml:space="preserve"> it is advisable to ensure that such situations are adequately provided for and addressed in national law.</w:t>
      </w:r>
    </w:p>
    <w:p w14:paraId="45B3E415" w14:textId="77777777" w:rsidR="00D9454F" w:rsidRPr="00E52FA1" w:rsidRDefault="00D9454F" w:rsidP="00D9454F">
      <w:pPr>
        <w:spacing w:after="0"/>
        <w:rPr>
          <w:rFonts w:ascii="Times New Roman" w:hAnsi="Times New Roman"/>
          <w:sz w:val="24"/>
          <w:szCs w:val="24"/>
        </w:rPr>
      </w:pPr>
    </w:p>
    <w:p w14:paraId="0736945D" w14:textId="44E5F9FB"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Without prejudging whether a creditors’ ombudsman would have prevented the negative effects of an endlessly unpredictable number of participants in the proceedings, it is in our view worth at least considering and consulting on the introduction of such an institution, while respecting the rights of creditors wishing to act independently in the proceedings.</w:t>
      </w:r>
    </w:p>
    <w:p w14:paraId="72AB732C" w14:textId="77777777" w:rsidR="00D9454F" w:rsidRPr="00E52FA1" w:rsidRDefault="00D9454F" w:rsidP="00D9454F">
      <w:pPr>
        <w:spacing w:after="0"/>
        <w:rPr>
          <w:rFonts w:ascii="Times New Roman" w:hAnsi="Times New Roman"/>
          <w:i/>
          <w:iCs/>
          <w:sz w:val="24"/>
          <w:szCs w:val="24"/>
        </w:rPr>
      </w:pPr>
    </w:p>
    <w:p w14:paraId="6ACFB3A0" w14:textId="366E523A" w:rsidR="00D9454F" w:rsidRPr="00E52FA1" w:rsidRDefault="00D9454F" w:rsidP="00D9454F">
      <w:pPr>
        <w:spacing w:after="0"/>
        <w:rPr>
          <w:rFonts w:ascii="Times New Roman" w:hAnsi="Times New Roman"/>
          <w:i/>
          <w:iCs/>
          <w:sz w:val="24"/>
          <w:szCs w:val="24"/>
        </w:rPr>
      </w:pPr>
      <w:r w:rsidRPr="00E52FA1">
        <w:rPr>
          <w:rFonts w:ascii="Times New Roman" w:hAnsi="Times New Roman"/>
          <w:i/>
          <w:iCs/>
          <w:sz w:val="24"/>
          <w:szCs w:val="24"/>
        </w:rPr>
        <w:t>Conclusions</w:t>
      </w:r>
    </w:p>
    <w:p w14:paraId="7E03EA37" w14:textId="77777777" w:rsidR="00D9454F" w:rsidRPr="00E52FA1" w:rsidRDefault="00D9454F" w:rsidP="00D9454F">
      <w:pPr>
        <w:spacing w:after="0"/>
        <w:rPr>
          <w:rFonts w:ascii="Times New Roman" w:hAnsi="Times New Roman"/>
          <w:sz w:val="24"/>
          <w:szCs w:val="24"/>
        </w:rPr>
      </w:pPr>
    </w:p>
    <w:p w14:paraId="3177F7F6" w14:textId="46C3072D" w:rsidR="00D9454F" w:rsidRPr="00E52FA1" w:rsidRDefault="00D9454F" w:rsidP="00D9454F">
      <w:pPr>
        <w:spacing w:after="0"/>
        <w:rPr>
          <w:rFonts w:ascii="Times New Roman" w:hAnsi="Times New Roman"/>
          <w:sz w:val="24"/>
          <w:szCs w:val="24"/>
        </w:rPr>
      </w:pPr>
      <w:r w:rsidRPr="00E52FA1">
        <w:rPr>
          <w:rFonts w:ascii="Times New Roman" w:hAnsi="Times New Roman"/>
          <w:sz w:val="24"/>
          <w:szCs w:val="24"/>
        </w:rPr>
        <w:t xml:space="preserve">Poland has, in principle, correctly implemented the BRR Directive, and the provisions and their application in recent cases of resolution and subsequent bankruptcy of banks may be a model for this type of proceedings in the European Union and the way they are conducted. </w:t>
      </w:r>
      <w:r w:rsidR="00E52FA1" w:rsidRPr="00E52FA1">
        <w:rPr>
          <w:rFonts w:ascii="Times New Roman" w:hAnsi="Times New Roman"/>
          <w:sz w:val="24"/>
          <w:szCs w:val="24"/>
        </w:rPr>
        <w:t xml:space="preserve"> </w:t>
      </w:r>
      <w:r w:rsidRPr="00E52FA1">
        <w:rPr>
          <w:rFonts w:ascii="Times New Roman" w:hAnsi="Times New Roman"/>
          <w:sz w:val="24"/>
          <w:szCs w:val="24"/>
        </w:rPr>
        <w:t xml:space="preserve">The Polish model of separation of the resolution authority, from the authority responsible for bankruptcy proceedings of banks - and other financial institutions, through the use of so-called Chinese walls, </w:t>
      </w:r>
      <w:r w:rsidR="00E52FA1" w:rsidRPr="00E52FA1">
        <w:rPr>
          <w:rFonts w:ascii="Times New Roman" w:hAnsi="Times New Roman"/>
          <w:sz w:val="24"/>
          <w:szCs w:val="24"/>
        </w:rPr>
        <w:t xml:space="preserve">seems to have </w:t>
      </w:r>
      <w:r w:rsidRPr="00E52FA1">
        <w:rPr>
          <w:rFonts w:ascii="Times New Roman" w:hAnsi="Times New Roman"/>
          <w:sz w:val="24"/>
          <w:szCs w:val="24"/>
        </w:rPr>
        <w:t>served its purpose.</w:t>
      </w:r>
    </w:p>
    <w:p w14:paraId="2FF148CA" w14:textId="77777777" w:rsidR="00D9454F" w:rsidRPr="00E52FA1" w:rsidRDefault="00D9454F" w:rsidP="00D9454F">
      <w:pPr>
        <w:spacing w:after="0"/>
        <w:rPr>
          <w:rFonts w:ascii="Times New Roman" w:hAnsi="Times New Roman"/>
          <w:sz w:val="24"/>
          <w:szCs w:val="24"/>
        </w:rPr>
      </w:pPr>
    </w:p>
    <w:p w14:paraId="4C52D30A" w14:textId="77777777" w:rsidR="00E52FA1" w:rsidRPr="00E52FA1" w:rsidRDefault="00D9454F" w:rsidP="00D9454F">
      <w:pPr>
        <w:spacing w:after="0"/>
        <w:rPr>
          <w:rFonts w:ascii="Times New Roman" w:hAnsi="Times New Roman"/>
          <w:sz w:val="24"/>
          <w:szCs w:val="24"/>
        </w:rPr>
      </w:pPr>
      <w:r w:rsidRPr="00E52FA1">
        <w:rPr>
          <w:rFonts w:ascii="Times New Roman" w:hAnsi="Times New Roman"/>
          <w:sz w:val="24"/>
          <w:szCs w:val="24"/>
        </w:rPr>
        <w:t xml:space="preserve">These conclusions are not altered by the </w:t>
      </w:r>
      <w:r w:rsidRPr="00E52FA1">
        <w:rPr>
          <w:rFonts w:ascii="Times New Roman" w:hAnsi="Times New Roman"/>
          <w:i/>
          <w:iCs/>
          <w:sz w:val="24"/>
          <w:szCs w:val="24"/>
        </w:rPr>
        <w:t>Getin</w:t>
      </w:r>
      <w:r w:rsidRPr="00E52FA1">
        <w:rPr>
          <w:rFonts w:ascii="Times New Roman" w:hAnsi="Times New Roman"/>
          <w:sz w:val="24"/>
          <w:szCs w:val="24"/>
        </w:rPr>
        <w:t xml:space="preserve"> case (Case C-118/23) pending before the Court of Justice of the European Union, where the bank’s supervisory board has filed a complaint against the resolution, regardless of its outcome. However, in the context of the case, it is worth considering the appointment of the institution of a creditors’ ombudsman in proceedings, which - with the large number of administrative complaints against decisions of the Bank Guarantee Fund, e.g. on the initiation of resolution, would undoubtedly facilitate organisational and administrative issues, to the benefit of all concerned.</w:t>
      </w:r>
    </w:p>
    <w:p w14:paraId="0EADA6E7" w14:textId="77777777" w:rsidR="00E52FA1" w:rsidRPr="00E52FA1" w:rsidRDefault="00E52FA1" w:rsidP="00D9454F">
      <w:pPr>
        <w:spacing w:after="0"/>
        <w:rPr>
          <w:rFonts w:ascii="Times New Roman" w:hAnsi="Times New Roman"/>
          <w:sz w:val="24"/>
          <w:szCs w:val="24"/>
        </w:rPr>
      </w:pPr>
    </w:p>
    <w:p w14:paraId="5761A948" w14:textId="2076F54F" w:rsidR="0047439B" w:rsidRPr="00E52FA1" w:rsidRDefault="00D9454F" w:rsidP="00D9454F">
      <w:pPr>
        <w:spacing w:after="0"/>
        <w:rPr>
          <w:rFonts w:ascii="Times New Roman" w:hAnsi="Times New Roman"/>
          <w:sz w:val="24"/>
          <w:szCs w:val="24"/>
        </w:rPr>
      </w:pPr>
      <w:r w:rsidRPr="00E52FA1">
        <w:rPr>
          <w:rFonts w:ascii="Times New Roman" w:hAnsi="Times New Roman"/>
          <w:sz w:val="24"/>
          <w:szCs w:val="24"/>
        </w:rPr>
        <w:t>Such a creditors’ ombudsman would have statutorily defined competences and would be responsible for representing larger creditor groups, while respecting - along the lines of the curator for bondholders in Polish bankruptcy and restructuring law - the legitimate rights of creditors to so-called opt out from the ombudsman’s curatorship.</w:t>
      </w:r>
    </w:p>
    <w:sectPr w:rsidR="0047439B" w:rsidRPr="00E52FA1"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E21F" w14:textId="77777777" w:rsidR="009812CD" w:rsidRDefault="009812CD">
      <w:r>
        <w:separator/>
      </w:r>
    </w:p>
  </w:endnote>
  <w:endnote w:type="continuationSeparator" w:id="0">
    <w:p w14:paraId="3841E9B8" w14:textId="77777777" w:rsidR="009812CD" w:rsidRDefault="0098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4362" w14:textId="77777777" w:rsidR="009812CD" w:rsidRDefault="009812CD">
      <w:r>
        <w:separator/>
      </w:r>
    </w:p>
  </w:footnote>
  <w:footnote w:type="continuationSeparator" w:id="0">
    <w:p w14:paraId="0315CFF9" w14:textId="77777777" w:rsidR="009812CD" w:rsidRDefault="009812CD">
      <w:r>
        <w:continuationSeparator/>
      </w:r>
    </w:p>
  </w:footnote>
  <w:footnote w:id="1">
    <w:p w14:paraId="3442D63A" w14:textId="0E07023C" w:rsidR="00D9454F" w:rsidRPr="00D9454F" w:rsidRDefault="00D9454F">
      <w:pPr>
        <w:pStyle w:val="FootnoteText"/>
        <w:rPr>
          <w:rFonts w:ascii="Times New Roman" w:hAnsi="Times New Roman"/>
        </w:rPr>
      </w:pPr>
      <w:r w:rsidRPr="00D9454F">
        <w:rPr>
          <w:rStyle w:val="FootnoteReference"/>
          <w:rFonts w:ascii="Times New Roman" w:hAnsi="Times New Roman"/>
        </w:rPr>
        <w:footnoteRef/>
      </w:r>
      <w:r w:rsidRPr="00D9454F">
        <w:rPr>
          <w:rFonts w:ascii="Times New Roman" w:hAnsi="Times New Roman"/>
        </w:rPr>
        <w:t xml:space="preserve">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Text with EEA relevance.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69BD7A1E"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D9454F">
      <w:rPr>
        <w:rFonts w:ascii="Arial" w:hAnsi="Arial" w:cs="Arial"/>
        <w:b/>
        <w:sz w:val="20"/>
      </w:rPr>
      <w:t xml:space="preserve">October </w:t>
    </w:r>
    <w:r w:rsidR="002A5779" w:rsidRPr="002331CA">
      <w:rPr>
        <w:rFonts w:ascii="Arial" w:hAnsi="Arial" w:cs="Arial"/>
        <w:b/>
        <w:sz w:val="20"/>
      </w:rPr>
      <w:t>20</w:t>
    </w:r>
    <w:r w:rsidR="00087612" w:rsidRPr="002331CA">
      <w:rPr>
        <w:rFonts w:ascii="Arial" w:hAnsi="Arial" w:cs="Arial"/>
        <w:b/>
        <w:sz w:val="20"/>
      </w:rPr>
      <w:t>2</w:t>
    </w:r>
    <w:r w:rsidR="00D9454F">
      <w:rPr>
        <w:rFonts w:ascii="Arial" w:hAnsi="Arial" w:cs="Arial"/>
        <w:b/>
        <w:sz w:val="20"/>
      </w:rPr>
      <w:t>5</w:t>
    </w:r>
    <w:r w:rsidR="00D90E9D">
      <w:rPr>
        <w:rFonts w:ascii="Arial" w:hAnsi="Arial" w:cs="Arial"/>
        <w:b/>
        <w:sz w:val="20"/>
      </w:rPr>
      <w:t>)</w:t>
    </w:r>
  </w:p>
  <w:p w14:paraId="0F2C5C5A" w14:textId="19E38590" w:rsidR="00BF3D3E" w:rsidRPr="0011226B" w:rsidRDefault="00D9454F" w:rsidP="00D90E9D">
    <w:pPr>
      <w:pStyle w:val="Header"/>
      <w:spacing w:after="0"/>
      <w:rPr>
        <w:rFonts w:ascii="Arial" w:hAnsi="Arial" w:cs="Arial"/>
        <w:b/>
        <w:sz w:val="20"/>
        <w:lang w:val="fr-FR"/>
      </w:rPr>
    </w:pPr>
    <w:r w:rsidRPr="0011226B">
      <w:rPr>
        <w:rFonts w:ascii="Arial" w:hAnsi="Arial" w:cs="Arial"/>
        <w:b/>
        <w:sz w:val="20"/>
      </w:rPr>
      <w:t>Mateusz Kaliński</w:t>
    </w:r>
    <w:r w:rsidRPr="0011226B">
      <w:rPr>
        <w:rFonts w:ascii="Arial" w:hAnsi="Arial" w:cs="Arial"/>
        <w:b/>
        <w:sz w:val="20"/>
        <w:lang w:val="fr-FR"/>
      </w:rPr>
      <w:t xml:space="preserve"> </w:t>
    </w:r>
    <w:r w:rsidR="00D736EC">
      <w:rPr>
        <w:rFonts w:ascii="Arial" w:hAnsi="Arial" w:cs="Arial"/>
        <w:b/>
        <w:sz w:val="20"/>
      </w:rPr>
      <w:t xml:space="preserve">and </w:t>
    </w:r>
    <w:r>
      <w:rPr>
        <w:rFonts w:ascii="Arial" w:hAnsi="Arial" w:cs="Arial"/>
        <w:b/>
        <w:sz w:val="20"/>
      </w:rPr>
      <w:t xml:space="preserve">Paweł Kuglarz </w:t>
    </w:r>
    <w:r w:rsidR="00640EFC" w:rsidRPr="0011226B">
      <w:rPr>
        <w:rFonts w:ascii="Arial" w:hAnsi="Arial" w:cs="Arial"/>
        <w:b/>
        <w:sz w:val="20"/>
        <w:lang w:val="fr-FR"/>
      </w:rPr>
      <w:t>(</w:t>
    </w:r>
    <w:r w:rsidR="0011226B" w:rsidRPr="0011226B">
      <w:rPr>
        <w:rFonts w:ascii="Arial" w:hAnsi="Arial" w:cs="Arial"/>
        <w:b/>
        <w:sz w:val="20"/>
        <w:lang w:val="fr-FR"/>
      </w:rPr>
      <w:t>PL</w:t>
    </w:r>
    <w:r w:rsidR="00BF3D3E" w:rsidRPr="0011226B">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0820BF"/>
    <w:multiLevelType w:val="hybridMultilevel"/>
    <w:tmpl w:val="7B841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39DB566E"/>
    <w:multiLevelType w:val="hybridMultilevel"/>
    <w:tmpl w:val="24D8E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7"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3"/>
  </w:num>
  <w:num w:numId="5">
    <w:abstractNumId w:val="2"/>
  </w:num>
  <w:num w:numId="6">
    <w:abstractNumId w:val="6"/>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22B3"/>
    <w:rsid w:val="000D3C8B"/>
    <w:rsid w:val="00104015"/>
    <w:rsid w:val="0011181C"/>
    <w:rsid w:val="0011226B"/>
    <w:rsid w:val="001258A8"/>
    <w:rsid w:val="00127C4A"/>
    <w:rsid w:val="00141375"/>
    <w:rsid w:val="00145356"/>
    <w:rsid w:val="0016531A"/>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3F398F"/>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40D53"/>
    <w:rsid w:val="00557280"/>
    <w:rsid w:val="00557A0F"/>
    <w:rsid w:val="005649F9"/>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57FC0"/>
    <w:rsid w:val="00674D11"/>
    <w:rsid w:val="00694350"/>
    <w:rsid w:val="006945CB"/>
    <w:rsid w:val="006B7ABD"/>
    <w:rsid w:val="006D0A86"/>
    <w:rsid w:val="006E7E8D"/>
    <w:rsid w:val="00703D03"/>
    <w:rsid w:val="00707113"/>
    <w:rsid w:val="007203F3"/>
    <w:rsid w:val="00740F50"/>
    <w:rsid w:val="00752792"/>
    <w:rsid w:val="00753FB5"/>
    <w:rsid w:val="00772427"/>
    <w:rsid w:val="00772DFE"/>
    <w:rsid w:val="00782731"/>
    <w:rsid w:val="00785E77"/>
    <w:rsid w:val="00786CA6"/>
    <w:rsid w:val="00790DFB"/>
    <w:rsid w:val="007A0387"/>
    <w:rsid w:val="007C4484"/>
    <w:rsid w:val="007D39E7"/>
    <w:rsid w:val="007E1590"/>
    <w:rsid w:val="00807744"/>
    <w:rsid w:val="00825991"/>
    <w:rsid w:val="008432D1"/>
    <w:rsid w:val="00847988"/>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F27"/>
    <w:rsid w:val="00977889"/>
    <w:rsid w:val="009812CD"/>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C225C"/>
    <w:rsid w:val="00BC4C0D"/>
    <w:rsid w:val="00BD0697"/>
    <w:rsid w:val="00BE2B07"/>
    <w:rsid w:val="00BF3D3E"/>
    <w:rsid w:val="00C16DFA"/>
    <w:rsid w:val="00C2522B"/>
    <w:rsid w:val="00C378D4"/>
    <w:rsid w:val="00C900E1"/>
    <w:rsid w:val="00C96534"/>
    <w:rsid w:val="00CA2E89"/>
    <w:rsid w:val="00CA53BB"/>
    <w:rsid w:val="00CB7636"/>
    <w:rsid w:val="00CC02EB"/>
    <w:rsid w:val="00CD797D"/>
    <w:rsid w:val="00CE09C4"/>
    <w:rsid w:val="00D03DC1"/>
    <w:rsid w:val="00D05F7C"/>
    <w:rsid w:val="00D2584B"/>
    <w:rsid w:val="00D31877"/>
    <w:rsid w:val="00D32C99"/>
    <w:rsid w:val="00D5099E"/>
    <w:rsid w:val="00D5309A"/>
    <w:rsid w:val="00D6291C"/>
    <w:rsid w:val="00D736EC"/>
    <w:rsid w:val="00D74A36"/>
    <w:rsid w:val="00D90E9D"/>
    <w:rsid w:val="00D9454F"/>
    <w:rsid w:val="00DE5F99"/>
    <w:rsid w:val="00E007BF"/>
    <w:rsid w:val="00E0090D"/>
    <w:rsid w:val="00E22801"/>
    <w:rsid w:val="00E2501C"/>
    <w:rsid w:val="00E37A5D"/>
    <w:rsid w:val="00E52FA1"/>
    <w:rsid w:val="00E53ABF"/>
    <w:rsid w:val="00E64EE0"/>
    <w:rsid w:val="00E71E7B"/>
    <w:rsid w:val="00E724C5"/>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4"/>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4"/>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4"/>
      </w:numPr>
    </w:pPr>
  </w:style>
  <w:style w:type="paragraph" w:customStyle="1" w:styleId="AgreementHeading4">
    <w:name w:val="Agreement Heading 4"/>
    <w:basedOn w:val="Normal"/>
    <w:rsid w:val="006E7E8D"/>
    <w:pPr>
      <w:numPr>
        <w:ilvl w:val="3"/>
        <w:numId w:val="4"/>
      </w:numPr>
    </w:pPr>
  </w:style>
  <w:style w:type="paragraph" w:customStyle="1" w:styleId="AgreementHeading5">
    <w:name w:val="Agreement Heading 5"/>
    <w:basedOn w:val="Normal"/>
    <w:rsid w:val="006E7E8D"/>
    <w:pPr>
      <w:numPr>
        <w:ilvl w:val="4"/>
        <w:numId w:val="4"/>
      </w:numPr>
    </w:pPr>
  </w:style>
  <w:style w:type="paragraph" w:customStyle="1" w:styleId="AgreementParties">
    <w:name w:val="Agreement Parties"/>
    <w:basedOn w:val="Normal"/>
    <w:rsid w:val="006E7E8D"/>
    <w:pPr>
      <w:numPr>
        <w:numId w:val="2"/>
      </w:numPr>
    </w:pPr>
  </w:style>
  <w:style w:type="paragraph" w:customStyle="1" w:styleId="AgreementRecitals">
    <w:name w:val="Agreement Recitals"/>
    <w:basedOn w:val="Normal"/>
    <w:rsid w:val="006E7E8D"/>
    <w:pPr>
      <w:numPr>
        <w:numId w:val="3"/>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5"/>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6"/>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6"/>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6"/>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2298</Words>
  <Characters>13100</Characters>
  <Application>Microsoft Office Word</Application>
  <DocSecurity>0</DocSecurity>
  <PresentationFormat/>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15368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16</cp:revision>
  <cp:lastPrinted>2017-11-20T20:14:00Z</cp:lastPrinted>
  <dcterms:created xsi:type="dcterms:W3CDTF">2021-05-25T19:44:00Z</dcterms:created>
  <dcterms:modified xsi:type="dcterms:W3CDTF">2025-10-23T13:22:00Z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