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6B571D" w:rsidRDefault="005D783E" w:rsidP="006B571D">
      <w:pPr>
        <w:tabs>
          <w:tab w:val="left" w:pos="474"/>
        </w:tabs>
        <w:spacing w:after="0"/>
        <w:contextualSpacing/>
        <w:rPr>
          <w:rFonts w:ascii="Times New Roman" w:hAnsi="Times New Roman"/>
          <w:sz w:val="24"/>
          <w:szCs w:val="24"/>
        </w:rPr>
      </w:pPr>
    </w:p>
    <w:p w14:paraId="39E9118B" w14:textId="561C5F5A" w:rsidR="00617533" w:rsidRPr="006B571D" w:rsidRDefault="00492065" w:rsidP="006B571D">
      <w:pPr>
        <w:spacing w:after="0"/>
        <w:contextualSpacing/>
        <w:jc w:val="center"/>
        <w:rPr>
          <w:rFonts w:ascii="Times New Roman" w:hAnsi="Times New Roman"/>
          <w:b/>
          <w:sz w:val="24"/>
          <w:szCs w:val="24"/>
        </w:rPr>
      </w:pPr>
      <w:r w:rsidRPr="006B571D">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6B571D" w:rsidRDefault="00617533" w:rsidP="006B571D">
      <w:pPr>
        <w:spacing w:after="0"/>
        <w:contextualSpacing/>
        <w:jc w:val="center"/>
        <w:rPr>
          <w:rFonts w:ascii="Times New Roman" w:hAnsi="Times New Roman"/>
          <w:b/>
          <w:sz w:val="24"/>
          <w:szCs w:val="24"/>
        </w:rPr>
      </w:pPr>
    </w:p>
    <w:p w14:paraId="2C7EFD65" w14:textId="4D024EFE" w:rsidR="00617533" w:rsidRPr="006B571D" w:rsidRDefault="00617533" w:rsidP="006B571D">
      <w:pPr>
        <w:spacing w:after="0"/>
        <w:contextualSpacing/>
        <w:jc w:val="center"/>
        <w:rPr>
          <w:rFonts w:ascii="Times New Roman" w:hAnsi="Times New Roman"/>
          <w:b/>
          <w:sz w:val="36"/>
          <w:szCs w:val="36"/>
        </w:rPr>
      </w:pPr>
      <w:r w:rsidRPr="006B571D">
        <w:rPr>
          <w:rFonts w:ascii="Times New Roman" w:hAnsi="Times New Roman"/>
          <w:b/>
          <w:sz w:val="36"/>
          <w:szCs w:val="36"/>
        </w:rPr>
        <w:t xml:space="preserve">Inside Story – </w:t>
      </w:r>
      <w:r w:rsidR="00E7666B" w:rsidRPr="006B571D">
        <w:rPr>
          <w:rFonts w:ascii="Times New Roman" w:hAnsi="Times New Roman"/>
          <w:b/>
          <w:sz w:val="36"/>
          <w:szCs w:val="36"/>
        </w:rPr>
        <w:t>November</w:t>
      </w:r>
      <w:r w:rsidR="00786CA6" w:rsidRPr="006B571D">
        <w:rPr>
          <w:rFonts w:ascii="Times New Roman" w:hAnsi="Times New Roman"/>
          <w:b/>
          <w:sz w:val="36"/>
          <w:szCs w:val="36"/>
        </w:rPr>
        <w:t xml:space="preserve"> </w:t>
      </w:r>
      <w:r w:rsidRPr="006B571D">
        <w:rPr>
          <w:rFonts w:ascii="Times New Roman" w:hAnsi="Times New Roman"/>
          <w:b/>
          <w:sz w:val="36"/>
          <w:szCs w:val="36"/>
        </w:rPr>
        <w:t>20</w:t>
      </w:r>
      <w:r w:rsidR="00782731" w:rsidRPr="006B571D">
        <w:rPr>
          <w:rFonts w:ascii="Times New Roman" w:hAnsi="Times New Roman"/>
          <w:b/>
          <w:sz w:val="36"/>
          <w:szCs w:val="36"/>
        </w:rPr>
        <w:t>2</w:t>
      </w:r>
      <w:r w:rsidR="00D10A38" w:rsidRPr="006B571D">
        <w:rPr>
          <w:rFonts w:ascii="Times New Roman" w:hAnsi="Times New Roman"/>
          <w:b/>
          <w:sz w:val="36"/>
          <w:szCs w:val="36"/>
        </w:rPr>
        <w:t>5</w:t>
      </w:r>
    </w:p>
    <w:p w14:paraId="1ECBC4F0" w14:textId="77777777" w:rsidR="00617533" w:rsidRPr="006B571D" w:rsidRDefault="00617533" w:rsidP="006B571D">
      <w:pPr>
        <w:spacing w:after="0"/>
        <w:contextualSpacing/>
        <w:jc w:val="center"/>
        <w:rPr>
          <w:rFonts w:ascii="Times New Roman" w:hAnsi="Times New Roman"/>
          <w:b/>
          <w:sz w:val="24"/>
          <w:szCs w:val="24"/>
        </w:rPr>
      </w:pPr>
    </w:p>
    <w:p w14:paraId="74A149CF" w14:textId="77777777" w:rsidR="006B571D" w:rsidRDefault="00E7666B" w:rsidP="006B571D">
      <w:pPr>
        <w:spacing w:after="0"/>
        <w:jc w:val="center"/>
        <w:rPr>
          <w:rFonts w:ascii="Times New Roman" w:hAnsi="Times New Roman"/>
          <w:b/>
          <w:bCs/>
          <w:sz w:val="32"/>
          <w:szCs w:val="32"/>
        </w:rPr>
      </w:pPr>
      <w:r w:rsidRPr="006B571D">
        <w:rPr>
          <w:rFonts w:ascii="Times New Roman" w:hAnsi="Times New Roman"/>
          <w:b/>
          <w:bCs/>
          <w:sz w:val="32"/>
          <w:szCs w:val="32"/>
        </w:rPr>
        <w:t>Part 26A Restructuring Plans for SMEs:</w:t>
      </w:r>
    </w:p>
    <w:p w14:paraId="0BE27879" w14:textId="27BC0F3C" w:rsidR="00F7232D" w:rsidRPr="006B571D" w:rsidRDefault="00E7666B" w:rsidP="006B571D">
      <w:pPr>
        <w:spacing w:after="0"/>
        <w:jc w:val="center"/>
        <w:rPr>
          <w:rFonts w:ascii="Times New Roman" w:hAnsi="Times New Roman"/>
          <w:b/>
          <w:bCs/>
          <w:sz w:val="32"/>
          <w:szCs w:val="32"/>
        </w:rPr>
      </w:pPr>
      <w:r w:rsidRPr="006B571D">
        <w:rPr>
          <w:rFonts w:ascii="Times New Roman" w:hAnsi="Times New Roman"/>
          <w:b/>
          <w:bCs/>
          <w:sz w:val="32"/>
          <w:szCs w:val="32"/>
        </w:rPr>
        <w:t>The Pioneering Example of DSTBTD Ltd</w:t>
      </w:r>
    </w:p>
    <w:p w14:paraId="75DFE654" w14:textId="77777777" w:rsidR="00E71E7B" w:rsidRPr="006B571D" w:rsidRDefault="00E71E7B" w:rsidP="006B571D">
      <w:pPr>
        <w:spacing w:after="0"/>
        <w:contextualSpacing/>
        <w:jc w:val="center"/>
        <w:rPr>
          <w:rFonts w:ascii="Times New Roman" w:hAnsi="Times New Roman"/>
          <w:sz w:val="24"/>
          <w:szCs w:val="24"/>
        </w:rPr>
      </w:pPr>
    </w:p>
    <w:p w14:paraId="0DAE9D3B" w14:textId="5C211671" w:rsidR="0011226B" w:rsidRPr="006B571D" w:rsidRDefault="00E7666B" w:rsidP="006B571D">
      <w:pPr>
        <w:pStyle w:val="NoSpacing"/>
        <w:jc w:val="center"/>
        <w:rPr>
          <w:rFonts w:ascii="Times New Roman" w:hAnsi="Times New Roman" w:cs="Times New Roman"/>
          <w:i/>
          <w:lang w:val="en-GB"/>
        </w:rPr>
      </w:pPr>
      <w:r w:rsidRPr="006B571D">
        <w:rPr>
          <w:rFonts w:ascii="Times New Roman" w:hAnsi="Times New Roman" w:cs="Times New Roman"/>
          <w:i/>
          <w:iCs/>
          <w:lang w:val="en-GB"/>
        </w:rPr>
        <w:t>Tony Groom</w:t>
      </w:r>
      <w:r w:rsidR="00BB4D9D" w:rsidRPr="006B571D">
        <w:rPr>
          <w:rFonts w:ascii="Times New Roman" w:hAnsi="Times New Roman" w:cs="Times New Roman"/>
          <w:i/>
          <w:iCs/>
          <w:lang w:val="en-GB"/>
        </w:rPr>
        <w:t xml:space="preserve">, </w:t>
      </w:r>
      <w:r w:rsidRPr="006B571D">
        <w:rPr>
          <w:rFonts w:ascii="Times New Roman" w:hAnsi="Times New Roman" w:cs="Times New Roman"/>
          <w:i/>
          <w:iCs/>
          <w:lang w:val="en-GB"/>
        </w:rPr>
        <w:t xml:space="preserve">Investment </w:t>
      </w:r>
      <w:r w:rsidR="00BB4D9D" w:rsidRPr="006B571D">
        <w:rPr>
          <w:rFonts w:ascii="Times New Roman" w:hAnsi="Times New Roman" w:cs="Times New Roman"/>
          <w:i/>
          <w:iCs/>
          <w:lang w:val="en-GB"/>
        </w:rPr>
        <w:t>Partner</w:t>
      </w:r>
      <w:r w:rsidRPr="006B571D">
        <w:rPr>
          <w:rFonts w:ascii="Times New Roman" w:hAnsi="Times New Roman" w:cs="Times New Roman"/>
          <w:i/>
          <w:iCs/>
          <w:lang w:val="en-GB"/>
        </w:rPr>
        <w:t>, K2 Partners, UK</w:t>
      </w:r>
      <w:r w:rsidR="00D10A38" w:rsidRPr="006B571D">
        <w:rPr>
          <w:rFonts w:ascii="Times New Roman" w:hAnsi="Times New Roman" w:cs="Times New Roman"/>
          <w:i/>
          <w:lang w:val="en-GB"/>
        </w:rPr>
        <w:t>: &lt;</w:t>
      </w:r>
      <w:r w:rsidRPr="006B571D">
        <w:rPr>
          <w:rFonts w:ascii="Times New Roman" w:hAnsi="Times New Roman" w:cs="Times New Roman"/>
          <w:i/>
          <w:lang w:val="en-GB"/>
        </w:rPr>
        <w:t>tony</w:t>
      </w:r>
      <w:r w:rsidR="00F7232D" w:rsidRPr="006B571D">
        <w:rPr>
          <w:rFonts w:ascii="Times New Roman" w:hAnsi="Times New Roman" w:cs="Times New Roman"/>
          <w:i/>
          <w:lang w:val="en-GB"/>
        </w:rPr>
        <w:t>.</w:t>
      </w:r>
      <w:r w:rsidRPr="006B571D">
        <w:rPr>
          <w:rFonts w:ascii="Times New Roman" w:hAnsi="Times New Roman" w:cs="Times New Roman"/>
          <w:i/>
          <w:lang w:val="en-GB"/>
        </w:rPr>
        <w:t>groom</w:t>
      </w:r>
      <w:r w:rsidR="00F7232D" w:rsidRPr="006B571D">
        <w:rPr>
          <w:rFonts w:ascii="Times New Roman" w:hAnsi="Times New Roman" w:cs="Times New Roman"/>
          <w:i/>
          <w:lang w:val="en-GB"/>
        </w:rPr>
        <w:t>@</w:t>
      </w:r>
      <w:r w:rsidR="00BB4D9D" w:rsidRPr="006B571D">
        <w:rPr>
          <w:rFonts w:ascii="Times New Roman" w:hAnsi="Times New Roman" w:cs="Times New Roman"/>
          <w:i/>
          <w:lang w:val="en-GB"/>
        </w:rPr>
        <w:t>k</w:t>
      </w:r>
      <w:r w:rsidRPr="006B571D">
        <w:rPr>
          <w:rFonts w:ascii="Times New Roman" w:hAnsi="Times New Roman" w:cs="Times New Roman"/>
          <w:i/>
          <w:lang w:val="en-GB"/>
        </w:rPr>
        <w:t>2-partners</w:t>
      </w:r>
      <w:r w:rsidR="00F7232D" w:rsidRPr="006B571D">
        <w:rPr>
          <w:rFonts w:ascii="Times New Roman" w:hAnsi="Times New Roman" w:cs="Times New Roman"/>
          <w:i/>
          <w:lang w:val="en-GB"/>
        </w:rPr>
        <w:t>.co</w:t>
      </w:r>
      <w:r w:rsidR="00BB4D9D" w:rsidRPr="006B571D">
        <w:rPr>
          <w:rFonts w:ascii="Times New Roman" w:hAnsi="Times New Roman" w:cs="Times New Roman"/>
          <w:i/>
          <w:lang w:val="en-GB"/>
        </w:rPr>
        <w:t>m</w:t>
      </w:r>
      <w:r w:rsidR="00D10A38" w:rsidRPr="006B571D">
        <w:rPr>
          <w:rFonts w:ascii="Times New Roman" w:hAnsi="Times New Roman" w:cs="Times New Roman"/>
          <w:i/>
          <w:lang w:val="en-GB"/>
        </w:rPr>
        <w:t>&gt;</w:t>
      </w:r>
      <w:r w:rsidR="0011226B" w:rsidRPr="006B571D">
        <w:rPr>
          <w:rFonts w:ascii="Times New Roman" w:hAnsi="Times New Roman" w:cs="Times New Roman"/>
          <w:iCs/>
          <w:shd w:val="clear" w:color="auto" w:fill="FFFFFF"/>
          <w:lang w:val="en-GB"/>
        </w:rPr>
        <w:t>.</w:t>
      </w:r>
    </w:p>
    <w:p w14:paraId="716971A7" w14:textId="5C26573A" w:rsidR="00104015" w:rsidRPr="006B571D" w:rsidRDefault="00104015" w:rsidP="006B571D">
      <w:pPr>
        <w:pStyle w:val="NoSpacing"/>
        <w:jc w:val="center"/>
        <w:rPr>
          <w:rFonts w:ascii="Times New Roman" w:hAnsi="Times New Roman" w:cs="Times New Roman"/>
          <w:i/>
          <w:iCs/>
          <w:shd w:val="clear" w:color="auto" w:fill="FFFFFF"/>
          <w:lang w:val="en-GB"/>
        </w:rPr>
      </w:pPr>
    </w:p>
    <w:p w14:paraId="127C267D" w14:textId="77777777" w:rsidR="00E71E7B" w:rsidRPr="006B571D" w:rsidRDefault="00E71E7B" w:rsidP="006B571D">
      <w:pPr>
        <w:spacing w:after="0"/>
        <w:contextualSpacing/>
        <w:rPr>
          <w:rFonts w:ascii="Times New Roman" w:hAnsi="Times New Roman"/>
          <w:i/>
          <w:sz w:val="24"/>
          <w:szCs w:val="24"/>
        </w:rPr>
      </w:pPr>
    </w:p>
    <w:p w14:paraId="39F0D831" w14:textId="220ACB4C" w:rsidR="00FA6321" w:rsidRPr="006B571D" w:rsidRDefault="00FA6321" w:rsidP="006B571D">
      <w:pPr>
        <w:pStyle w:val="Heading2"/>
        <w:spacing w:before="0" w:after="0"/>
        <w:rPr>
          <w:rFonts w:ascii="Times New Roman" w:hAnsi="Times New Roman" w:cs="Times New Roman"/>
          <w:b w:val="0"/>
          <w:bCs w:val="0"/>
          <w:i w:val="0"/>
          <w:iCs w:val="0"/>
          <w:sz w:val="24"/>
          <w:szCs w:val="24"/>
        </w:rPr>
      </w:pPr>
      <w:r w:rsidRPr="006B571D">
        <w:rPr>
          <w:rFonts w:ascii="Times New Roman" w:hAnsi="Times New Roman" w:cs="Times New Roman"/>
          <w:b w:val="0"/>
          <w:bCs w:val="0"/>
          <w:sz w:val="24"/>
          <w:szCs w:val="24"/>
        </w:rPr>
        <w:t>Introduction</w:t>
      </w:r>
    </w:p>
    <w:p w14:paraId="67A29F73" w14:textId="77777777" w:rsidR="00FA6321" w:rsidRPr="006B571D" w:rsidRDefault="00FA6321" w:rsidP="006B571D">
      <w:pPr>
        <w:spacing w:after="0"/>
        <w:rPr>
          <w:rFonts w:ascii="Times New Roman" w:hAnsi="Times New Roman"/>
          <w:sz w:val="24"/>
          <w:szCs w:val="24"/>
        </w:rPr>
      </w:pPr>
    </w:p>
    <w:p w14:paraId="334ABA61" w14:textId="3B5D903B"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 xml:space="preserve">DSTBTD Limited (“Distributed”) represents the first successful use of a </w:t>
      </w:r>
      <w:r w:rsidRPr="006B571D">
        <w:rPr>
          <w:rFonts w:ascii="Times New Roman" w:hAnsi="Times New Roman"/>
          <w:b/>
          <w:bCs/>
          <w:sz w:val="24"/>
          <w:szCs w:val="24"/>
        </w:rPr>
        <w:t>Part 26A Restructuring Plan</w:t>
      </w:r>
      <w:r w:rsidRPr="006B571D">
        <w:rPr>
          <w:rFonts w:ascii="Times New Roman" w:hAnsi="Times New Roman"/>
          <w:sz w:val="24"/>
          <w:szCs w:val="24"/>
        </w:rPr>
        <w:t xml:space="preserve"> by a small-to-medium enterprise. The £6 million-turnover technology company, which supplies and manages pre-vetted freelancers for IT and software projects, demonstrated that this advanced restructuring tool</w:t>
      </w:r>
      <w:r w:rsidR="00D007D3">
        <w:rPr>
          <w:rFonts w:ascii="Times New Roman" w:hAnsi="Times New Roman"/>
          <w:sz w:val="24"/>
          <w:szCs w:val="24"/>
        </w:rPr>
        <w:t xml:space="preserve"> – </w:t>
      </w:r>
      <w:r w:rsidRPr="006B571D">
        <w:rPr>
          <w:rFonts w:ascii="Times New Roman" w:hAnsi="Times New Roman"/>
          <w:sz w:val="24"/>
          <w:szCs w:val="24"/>
        </w:rPr>
        <w:t>previously the preserve of large corporates</w:t>
      </w:r>
      <w:r w:rsidR="00D007D3">
        <w:rPr>
          <w:rFonts w:ascii="Times New Roman" w:hAnsi="Times New Roman"/>
          <w:sz w:val="24"/>
          <w:szCs w:val="24"/>
        </w:rPr>
        <w:t xml:space="preserve"> – </w:t>
      </w:r>
      <w:r w:rsidRPr="006B571D">
        <w:rPr>
          <w:rFonts w:ascii="Times New Roman" w:hAnsi="Times New Roman"/>
          <w:sz w:val="24"/>
          <w:szCs w:val="24"/>
        </w:rPr>
        <w:t>can be applied effectively to SMEs. The Plan delivered superior returns for creditors, preserved jobs, and enabled the company’s survival.</w:t>
      </w:r>
    </w:p>
    <w:p w14:paraId="4A31640C" w14:textId="77777777" w:rsidR="00E7666B" w:rsidRPr="006B571D" w:rsidRDefault="00E7666B" w:rsidP="006B571D">
      <w:pPr>
        <w:spacing w:after="0"/>
        <w:rPr>
          <w:rFonts w:ascii="Times New Roman" w:hAnsi="Times New Roman"/>
          <w:sz w:val="24"/>
          <w:szCs w:val="24"/>
        </w:rPr>
      </w:pPr>
    </w:p>
    <w:p w14:paraId="54DCEB7C" w14:textId="77777777"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Background</w:t>
      </w:r>
    </w:p>
    <w:p w14:paraId="715B348A" w14:textId="77777777" w:rsidR="00E7666B" w:rsidRPr="006B571D" w:rsidRDefault="00E7666B" w:rsidP="006B571D">
      <w:pPr>
        <w:spacing w:after="0"/>
        <w:rPr>
          <w:rFonts w:ascii="Times New Roman" w:hAnsi="Times New Roman"/>
          <w:sz w:val="24"/>
          <w:szCs w:val="24"/>
        </w:rPr>
      </w:pPr>
    </w:p>
    <w:p w14:paraId="32F7CB93" w14:textId="54B42DE3"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Founded in 2017, Distributed built a digital platform matching flexible freelancers to enterprise clients such as BT. Backed by £15 million of venture capital, it expanded aggressively, growing from 29 to 66 employees between 2021 and 2023 and achieving monthly revenues over £1 million. Despite significant investment, the company remained loss-making because of thin margins and high fixed costs. In late 2024 the shareholders sold 100 % of the equity and the bank assigned its £4 million secured loan to new owners.</w:t>
      </w:r>
    </w:p>
    <w:p w14:paraId="1F514EE9" w14:textId="77777777" w:rsidR="00E7666B" w:rsidRPr="006B571D" w:rsidRDefault="00E7666B" w:rsidP="006B571D">
      <w:pPr>
        <w:spacing w:after="0"/>
        <w:rPr>
          <w:rFonts w:ascii="Times New Roman" w:hAnsi="Times New Roman"/>
          <w:sz w:val="24"/>
          <w:szCs w:val="24"/>
        </w:rPr>
      </w:pPr>
    </w:p>
    <w:p w14:paraId="67498B09" w14:textId="0D4CF446"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Financial Position before Restructuring</w:t>
      </w:r>
    </w:p>
    <w:p w14:paraId="5C43DAAC" w14:textId="7CF48F94" w:rsidR="00E7666B" w:rsidRPr="006B571D" w:rsidRDefault="00E7666B" w:rsidP="006B571D">
      <w:pPr>
        <w:spacing w:after="0"/>
        <w:rPr>
          <w:rFonts w:ascii="Times New Roman" w:hAnsi="Times New Roman"/>
          <w:sz w:val="24"/>
          <w:szCs w:val="24"/>
        </w:rPr>
      </w:pPr>
    </w:p>
    <w:p w14:paraId="4D351ECB" w14:textId="6A99824F"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A summary of the financial position pre-restructuring revealed:</w:t>
      </w:r>
    </w:p>
    <w:p w14:paraId="1E28F122" w14:textId="77777777" w:rsidR="006B571D" w:rsidRPr="006B571D" w:rsidRDefault="006B571D" w:rsidP="006B571D">
      <w:pPr>
        <w:spacing w:after="0"/>
        <w:rPr>
          <w:rFonts w:ascii="Times New Roman" w:hAnsi="Times New Roman"/>
          <w:sz w:val="24"/>
          <w:szCs w:val="24"/>
        </w:rPr>
      </w:pPr>
    </w:p>
    <w:p w14:paraId="0B67C0C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Preferential liabilities:</w:t>
      </w:r>
      <w:r w:rsidRPr="006B571D">
        <w:rPr>
          <w:rFonts w:ascii="Times New Roman" w:hAnsi="Times New Roman" w:cs="Times New Roman"/>
          <w:sz w:val="24"/>
          <w:szCs w:val="24"/>
        </w:rPr>
        <w:t xml:space="preserve"> £866,539 owed to HMRC.</w:t>
      </w:r>
    </w:p>
    <w:p w14:paraId="265C147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Unsecured liabilities:</w:t>
      </w:r>
      <w:r w:rsidRPr="006B571D">
        <w:rPr>
          <w:rFonts w:ascii="Times New Roman" w:hAnsi="Times New Roman" w:cs="Times New Roman"/>
          <w:sz w:val="24"/>
          <w:szCs w:val="24"/>
        </w:rPr>
        <w:t xml:space="preserve"> £2.93 million to former suppliers and HMRC.</w:t>
      </w:r>
    </w:p>
    <w:p w14:paraId="358B236E"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Secured debt:</w:t>
      </w:r>
      <w:r w:rsidRPr="006B571D">
        <w:rPr>
          <w:rFonts w:ascii="Times New Roman" w:hAnsi="Times New Roman" w:cs="Times New Roman"/>
          <w:sz w:val="24"/>
          <w:szCs w:val="24"/>
        </w:rPr>
        <w:t xml:space="preserve"> £4 million loan to Mizrahi-Tefahot Bank, effectively unsecured because assets were subject only to a floating charge.</w:t>
      </w:r>
    </w:p>
    <w:p w14:paraId="35DAFDE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Assets:</w:t>
      </w:r>
      <w:r w:rsidRPr="006B571D">
        <w:rPr>
          <w:rFonts w:ascii="Times New Roman" w:hAnsi="Times New Roman" w:cs="Times New Roman"/>
          <w:sz w:val="24"/>
          <w:szCs w:val="24"/>
        </w:rPr>
        <w:t xml:space="preserve"> Mainly £230–£290 k of book debts.</w:t>
      </w:r>
    </w:p>
    <w:p w14:paraId="2D4ADFE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Accumulated losses:</w:t>
      </w:r>
      <w:r w:rsidRPr="006B571D">
        <w:rPr>
          <w:rFonts w:ascii="Times New Roman" w:hAnsi="Times New Roman" w:cs="Times New Roman"/>
          <w:sz w:val="24"/>
          <w:szCs w:val="24"/>
        </w:rPr>
        <w:t xml:space="preserve"> £21.8 million.</w:t>
      </w:r>
    </w:p>
    <w:p w14:paraId="2C7BA297" w14:textId="7B01C3BE"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Funding outlook:</w:t>
      </w:r>
      <w:r w:rsidRPr="006B571D">
        <w:rPr>
          <w:rFonts w:ascii="Times New Roman" w:hAnsi="Times New Roman" w:cs="Times New Roman"/>
          <w:sz w:val="24"/>
          <w:szCs w:val="24"/>
        </w:rPr>
        <w:t xml:space="preserve"> Institutional investors prior to sale had refused further equity.</w:t>
      </w:r>
    </w:p>
    <w:p w14:paraId="0DBF3F85" w14:textId="77777777" w:rsidR="00E7666B" w:rsidRPr="006B571D" w:rsidRDefault="00E7666B" w:rsidP="006B571D">
      <w:pPr>
        <w:pStyle w:val="Bullett1"/>
        <w:numPr>
          <w:ilvl w:val="0"/>
          <w:numId w:val="0"/>
        </w:numPr>
        <w:spacing w:before="0"/>
        <w:ind w:left="709" w:hanging="425"/>
        <w:rPr>
          <w:rFonts w:ascii="Times New Roman" w:hAnsi="Times New Roman" w:cs="Times New Roman"/>
          <w:sz w:val="24"/>
          <w:szCs w:val="24"/>
        </w:rPr>
      </w:pPr>
    </w:p>
    <w:p w14:paraId="1E194B42" w14:textId="3228EFFF"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lastRenderedPageBreak/>
        <w:t>Causes of Financial Distress</w:t>
      </w:r>
    </w:p>
    <w:p w14:paraId="678BD89C" w14:textId="2C533282" w:rsidR="00E7666B" w:rsidRPr="006B571D" w:rsidRDefault="00E7666B" w:rsidP="006B571D">
      <w:pPr>
        <w:spacing w:after="0"/>
        <w:rPr>
          <w:rFonts w:ascii="Times New Roman" w:hAnsi="Times New Roman"/>
          <w:sz w:val="24"/>
          <w:szCs w:val="24"/>
        </w:rPr>
      </w:pPr>
    </w:p>
    <w:p w14:paraId="0EC56871" w14:textId="23B7766D"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Some of the diagnosed causes of financial distress included:</w:t>
      </w:r>
    </w:p>
    <w:p w14:paraId="5046FB9A" w14:textId="77777777" w:rsidR="006B571D" w:rsidRPr="006B571D" w:rsidRDefault="006B571D" w:rsidP="006B571D">
      <w:pPr>
        <w:spacing w:after="0"/>
        <w:rPr>
          <w:rFonts w:ascii="Times New Roman" w:hAnsi="Times New Roman"/>
          <w:sz w:val="24"/>
          <w:szCs w:val="24"/>
        </w:rPr>
      </w:pPr>
    </w:p>
    <w:p w14:paraId="4B68D2A1"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Strategic misjudgment:</w:t>
      </w:r>
      <w:r w:rsidRPr="006B571D">
        <w:rPr>
          <w:rFonts w:ascii="Times New Roman" w:hAnsi="Times New Roman" w:cs="Times New Roman"/>
          <w:sz w:val="24"/>
          <w:szCs w:val="24"/>
        </w:rPr>
        <w:t xml:space="preserve"> Previous management had taken on debt financing instead of changing strategy and reducing costs.</w:t>
      </w:r>
    </w:p>
    <w:p w14:paraId="0F65586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Client concentration:</w:t>
      </w:r>
      <w:r w:rsidRPr="006B571D">
        <w:rPr>
          <w:rFonts w:ascii="Times New Roman" w:hAnsi="Times New Roman" w:cs="Times New Roman"/>
          <w:sz w:val="24"/>
          <w:szCs w:val="24"/>
        </w:rPr>
        <w:t xml:space="preserve"> Dependence on one major client magnified revenue risk.</w:t>
      </w:r>
    </w:p>
    <w:p w14:paraId="3DFD798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Margin erosion:</w:t>
      </w:r>
      <w:r w:rsidRPr="006B571D">
        <w:rPr>
          <w:rFonts w:ascii="Times New Roman" w:hAnsi="Times New Roman" w:cs="Times New Roman"/>
          <w:sz w:val="24"/>
          <w:szCs w:val="24"/>
        </w:rPr>
        <w:t xml:space="preserve"> Rapid sales growth prioritized volume over profitability.</w:t>
      </w:r>
    </w:p>
    <w:p w14:paraId="1674F380" w14:textId="5196A253"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Excessive fixed costs:</w:t>
      </w:r>
      <w:r w:rsidRPr="006B571D">
        <w:rPr>
          <w:rFonts w:ascii="Times New Roman" w:hAnsi="Times New Roman" w:cs="Times New Roman"/>
          <w:sz w:val="24"/>
          <w:szCs w:val="24"/>
        </w:rPr>
        <w:t xml:space="preserve"> Over-staffing and inflated infrastructure.</w:t>
      </w:r>
    </w:p>
    <w:p w14:paraId="75A92794" w14:textId="58902801"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Board dysfunction:</w:t>
      </w:r>
      <w:r w:rsidRPr="006B571D">
        <w:rPr>
          <w:rFonts w:ascii="Times New Roman" w:hAnsi="Times New Roman" w:cs="Times New Roman"/>
          <w:sz w:val="24"/>
          <w:szCs w:val="24"/>
        </w:rPr>
        <w:t xml:space="preserve"> Multiple investor representatives hindered timely decisions.</w:t>
      </w:r>
    </w:p>
    <w:p w14:paraId="2D5B84FB" w14:textId="77777777" w:rsidR="00E7666B" w:rsidRPr="006B571D" w:rsidRDefault="00E7666B" w:rsidP="006B571D">
      <w:pPr>
        <w:pStyle w:val="Bullett1"/>
        <w:numPr>
          <w:ilvl w:val="0"/>
          <w:numId w:val="0"/>
        </w:numPr>
        <w:spacing w:before="0"/>
        <w:ind w:left="709" w:hanging="425"/>
        <w:rPr>
          <w:rFonts w:ascii="Times New Roman" w:hAnsi="Times New Roman" w:cs="Times New Roman"/>
          <w:sz w:val="24"/>
          <w:szCs w:val="24"/>
        </w:rPr>
      </w:pPr>
    </w:p>
    <w:p w14:paraId="75605A2A" w14:textId="77777777"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Turnaround Plan</w:t>
      </w:r>
    </w:p>
    <w:p w14:paraId="23391868" w14:textId="77777777" w:rsidR="00E7666B" w:rsidRPr="006B571D" w:rsidRDefault="00E7666B" w:rsidP="006B571D">
      <w:pPr>
        <w:spacing w:after="0"/>
        <w:rPr>
          <w:rFonts w:ascii="Times New Roman" w:hAnsi="Times New Roman"/>
          <w:sz w:val="24"/>
          <w:szCs w:val="24"/>
        </w:rPr>
      </w:pPr>
    </w:p>
    <w:p w14:paraId="0C6FF1C6" w14:textId="606A0BE5"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K2 Business Partners were engaged to conduct an options review and lead a hands-on turnaround. The turnaround plan involved stabilizing cash-flow by reducing staff and cutting costs, margin improvement, dealing with creditors, reorganizing operations, and a Restructuring Plan to compromise debt.</w:t>
      </w:r>
    </w:p>
    <w:p w14:paraId="5F574048" w14:textId="77777777" w:rsidR="00E7666B" w:rsidRPr="006B571D" w:rsidRDefault="00E7666B" w:rsidP="006B571D">
      <w:pPr>
        <w:spacing w:after="0"/>
        <w:rPr>
          <w:rFonts w:ascii="Times New Roman" w:hAnsi="Times New Roman"/>
          <w:sz w:val="24"/>
          <w:szCs w:val="24"/>
        </w:rPr>
      </w:pPr>
    </w:p>
    <w:p w14:paraId="3D9AFDCA" w14:textId="314A002B"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Financial and Operational Measures</w:t>
      </w:r>
    </w:p>
    <w:p w14:paraId="7EF54EAE" w14:textId="23D859FB" w:rsidR="00E7666B" w:rsidRPr="006B571D" w:rsidRDefault="00E7666B" w:rsidP="006B571D">
      <w:pPr>
        <w:spacing w:after="0"/>
        <w:rPr>
          <w:rFonts w:ascii="Times New Roman" w:hAnsi="Times New Roman"/>
          <w:sz w:val="24"/>
          <w:szCs w:val="24"/>
        </w:rPr>
      </w:pPr>
    </w:p>
    <w:p w14:paraId="3E00B3E5" w14:textId="4E2F3223"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Financial and operational measures taken included:</w:t>
      </w:r>
    </w:p>
    <w:p w14:paraId="03A357D6" w14:textId="77777777" w:rsidR="006B571D" w:rsidRPr="006B571D" w:rsidRDefault="006B571D" w:rsidP="006B571D">
      <w:pPr>
        <w:spacing w:after="0"/>
        <w:rPr>
          <w:rFonts w:ascii="Times New Roman" w:hAnsi="Times New Roman"/>
          <w:sz w:val="24"/>
          <w:szCs w:val="24"/>
        </w:rPr>
      </w:pPr>
    </w:p>
    <w:p w14:paraId="7E07057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Cash discipline:</w:t>
      </w:r>
      <w:r w:rsidRPr="006B571D">
        <w:rPr>
          <w:rFonts w:ascii="Times New Roman" w:hAnsi="Times New Roman" w:cs="Times New Roman"/>
          <w:sz w:val="24"/>
          <w:szCs w:val="24"/>
        </w:rPr>
        <w:t xml:space="preserve"> Weekly cash-flow management.</w:t>
      </w:r>
    </w:p>
    <w:p w14:paraId="6E68E92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Forecasting and reporting:</w:t>
      </w:r>
      <w:r w:rsidRPr="006B571D">
        <w:rPr>
          <w:rFonts w:ascii="Times New Roman" w:hAnsi="Times New Roman" w:cs="Times New Roman"/>
          <w:sz w:val="24"/>
          <w:szCs w:val="24"/>
        </w:rPr>
        <w:t xml:space="preserve"> Monthly models with KPIs to monitor margins and liquidity.</w:t>
      </w:r>
    </w:p>
    <w:p w14:paraId="49C5C8B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Debt compromise:</w:t>
      </w:r>
      <w:r w:rsidRPr="006B571D">
        <w:rPr>
          <w:rFonts w:ascii="Times New Roman" w:hAnsi="Times New Roman" w:cs="Times New Roman"/>
          <w:sz w:val="24"/>
          <w:szCs w:val="24"/>
        </w:rPr>
        <w:t xml:space="preserve"> Development of a Part 26A Restructuring Plan to bind all creditors.</w:t>
      </w:r>
    </w:p>
    <w:p w14:paraId="43B33528"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Management change:</w:t>
      </w:r>
      <w:r w:rsidRPr="006B571D">
        <w:rPr>
          <w:rFonts w:ascii="Times New Roman" w:hAnsi="Times New Roman" w:cs="Times New Roman"/>
          <w:sz w:val="24"/>
          <w:szCs w:val="24"/>
        </w:rPr>
        <w:t xml:space="preserve"> Appointment of a new leadership team experienced in restructuring.</w:t>
      </w:r>
    </w:p>
    <w:p w14:paraId="4D0B1D5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Rightsizing:</w:t>
      </w:r>
      <w:r w:rsidRPr="006B571D">
        <w:rPr>
          <w:rFonts w:ascii="Times New Roman" w:hAnsi="Times New Roman" w:cs="Times New Roman"/>
          <w:sz w:val="24"/>
          <w:szCs w:val="24"/>
        </w:rPr>
        <w:t xml:space="preserve"> Significant staff and management cost reductions.</w:t>
      </w:r>
    </w:p>
    <w:p w14:paraId="3E717C5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Remote-working model:</w:t>
      </w:r>
      <w:r w:rsidRPr="006B571D">
        <w:rPr>
          <w:rFonts w:ascii="Times New Roman" w:hAnsi="Times New Roman" w:cs="Times New Roman"/>
          <w:sz w:val="24"/>
          <w:szCs w:val="24"/>
        </w:rPr>
        <w:t xml:space="preserve"> Office lease terminated, cutting fixed property costs.</w:t>
      </w:r>
    </w:p>
    <w:p w14:paraId="22BB87A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Supplier rationalization:</w:t>
      </w:r>
      <w:r w:rsidRPr="006B571D">
        <w:rPr>
          <w:rFonts w:ascii="Times New Roman" w:hAnsi="Times New Roman" w:cs="Times New Roman"/>
          <w:sz w:val="24"/>
          <w:szCs w:val="24"/>
        </w:rPr>
        <w:t xml:space="preserve"> Cancellation of non-essential contracts.</w:t>
      </w:r>
    </w:p>
    <w:p w14:paraId="0F508D3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Cultural shift:</w:t>
      </w:r>
      <w:r w:rsidRPr="006B571D">
        <w:rPr>
          <w:rFonts w:ascii="Times New Roman" w:hAnsi="Times New Roman" w:cs="Times New Roman"/>
          <w:sz w:val="24"/>
          <w:szCs w:val="24"/>
        </w:rPr>
        <w:t xml:space="preserve"> Focus on accountability, margins, and cash generation.</w:t>
      </w:r>
    </w:p>
    <w:p w14:paraId="2045D4D1" w14:textId="3FA6493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System upgrades:</w:t>
      </w:r>
      <w:r w:rsidRPr="006B571D">
        <w:rPr>
          <w:rFonts w:ascii="Times New Roman" w:hAnsi="Times New Roman" w:cs="Times New Roman"/>
          <w:sz w:val="24"/>
          <w:szCs w:val="24"/>
        </w:rPr>
        <w:t xml:space="preserve"> Improved controls for finance and project delivery.</w:t>
      </w:r>
    </w:p>
    <w:p w14:paraId="695394CD"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32020FFF" w14:textId="77777777"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The Part 26A Restructuring Plan</w:t>
      </w:r>
    </w:p>
    <w:p w14:paraId="46817575" w14:textId="77777777" w:rsidR="00E7666B" w:rsidRPr="006B571D" w:rsidRDefault="00E7666B" w:rsidP="006B571D">
      <w:pPr>
        <w:spacing w:after="0"/>
        <w:rPr>
          <w:rFonts w:ascii="Times New Roman" w:hAnsi="Times New Roman"/>
          <w:sz w:val="24"/>
          <w:szCs w:val="24"/>
        </w:rPr>
      </w:pPr>
    </w:p>
    <w:p w14:paraId="142C7AB6" w14:textId="6F83D601"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Asset values were minimal and projected profits were not sufficient to satisfy preferential creditors in a CVA. A pre-pack administration would likely lead to termination of client contracts leaving a Restructuring Plan as the only viable option for saving the business as it offered scope for compromising HMRC’s preferential claim.</w:t>
      </w:r>
    </w:p>
    <w:p w14:paraId="2FB5CFA9" w14:textId="77777777" w:rsidR="00E7666B" w:rsidRPr="006B571D" w:rsidRDefault="00E7666B" w:rsidP="006B571D">
      <w:pPr>
        <w:spacing w:after="0"/>
        <w:rPr>
          <w:rFonts w:ascii="Times New Roman" w:hAnsi="Times New Roman"/>
          <w:sz w:val="24"/>
          <w:szCs w:val="24"/>
        </w:rPr>
      </w:pPr>
    </w:p>
    <w:p w14:paraId="096C6020" w14:textId="6CEC646D"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Creditor Classes</w:t>
      </w:r>
    </w:p>
    <w:p w14:paraId="43D5A83A" w14:textId="77777777" w:rsidR="00E7666B" w:rsidRPr="006B571D" w:rsidRDefault="00E7666B" w:rsidP="006B571D">
      <w:pPr>
        <w:spacing w:after="0"/>
        <w:rPr>
          <w:rFonts w:ascii="Times New Roman" w:hAnsi="Times New Roman"/>
          <w:sz w:val="24"/>
          <w:szCs w:val="24"/>
        </w:rPr>
      </w:pPr>
    </w:p>
    <w:p w14:paraId="1DB0747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Class A – Secondary Preferential:</w:t>
      </w:r>
      <w:r w:rsidRPr="006B571D">
        <w:rPr>
          <w:rFonts w:ascii="Times New Roman" w:hAnsi="Times New Roman" w:cs="Times New Roman"/>
          <w:sz w:val="24"/>
          <w:szCs w:val="24"/>
        </w:rPr>
        <w:t xml:space="preserve"> HMRC £866,539.</w:t>
      </w:r>
    </w:p>
    <w:p w14:paraId="15707543"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Class B – Historical Unsecured:</w:t>
      </w:r>
      <w:r w:rsidRPr="006B571D">
        <w:rPr>
          <w:rFonts w:ascii="Times New Roman" w:hAnsi="Times New Roman" w:cs="Times New Roman"/>
          <w:sz w:val="24"/>
          <w:szCs w:val="24"/>
        </w:rPr>
        <w:t xml:space="preserve"> £5.43 million (trade creditors £597 k, HMRC unsecured £140 k, and £4.69 million connected-party loans).</w:t>
      </w:r>
    </w:p>
    <w:p w14:paraId="7C2547DD" w14:textId="77777777" w:rsidR="00E7666B" w:rsidRPr="006B571D" w:rsidRDefault="00E7666B" w:rsidP="006B571D">
      <w:pPr>
        <w:spacing w:after="0"/>
        <w:rPr>
          <w:rFonts w:ascii="Times New Roman" w:hAnsi="Times New Roman"/>
          <w:sz w:val="24"/>
          <w:szCs w:val="24"/>
        </w:rPr>
      </w:pPr>
    </w:p>
    <w:p w14:paraId="164F4D21" w14:textId="3D42F447"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Current employees, critical freelancers, and ongoing HMRC obligations were excluded.</w:t>
      </w:r>
    </w:p>
    <w:p w14:paraId="4CA21F89" w14:textId="77777777" w:rsidR="00E7666B" w:rsidRPr="006B571D" w:rsidRDefault="00E7666B" w:rsidP="006B571D">
      <w:pPr>
        <w:spacing w:after="0"/>
        <w:rPr>
          <w:rFonts w:ascii="Times New Roman" w:hAnsi="Times New Roman"/>
          <w:sz w:val="24"/>
          <w:szCs w:val="24"/>
        </w:rPr>
      </w:pPr>
    </w:p>
    <w:p w14:paraId="7B4EB0E5" w14:textId="77777777"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lastRenderedPageBreak/>
        <w:t>Relevant Alternative</w:t>
      </w:r>
    </w:p>
    <w:p w14:paraId="661FFA21" w14:textId="77777777" w:rsidR="00E7666B" w:rsidRPr="006B571D" w:rsidRDefault="00E7666B" w:rsidP="006B571D">
      <w:pPr>
        <w:spacing w:after="0"/>
        <w:rPr>
          <w:rFonts w:ascii="Times New Roman" w:hAnsi="Times New Roman"/>
          <w:sz w:val="24"/>
          <w:szCs w:val="24"/>
        </w:rPr>
      </w:pPr>
    </w:p>
    <w:p w14:paraId="14E52D17" w14:textId="73CBAE16"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Administration or liquidation based on asset sale was identified as the benchmark for comparison. Consensual restructuring or a CVA were dismissed as impractical because:</w:t>
      </w:r>
    </w:p>
    <w:p w14:paraId="67E27AA0" w14:textId="77777777" w:rsidR="00E7666B" w:rsidRPr="006B571D" w:rsidRDefault="00E7666B" w:rsidP="006B571D">
      <w:pPr>
        <w:spacing w:after="0"/>
        <w:rPr>
          <w:rFonts w:ascii="Times New Roman" w:hAnsi="Times New Roman"/>
          <w:sz w:val="24"/>
          <w:szCs w:val="24"/>
        </w:rPr>
      </w:pPr>
    </w:p>
    <w:p w14:paraId="36FF946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HMRC’s preferential claim could not be compromised;</w:t>
      </w:r>
    </w:p>
    <w:p w14:paraId="05ED5DC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The business lacked profits to fund deferred repayment; and</w:t>
      </w:r>
    </w:p>
    <w:p w14:paraId="7E34839F" w14:textId="7687370B"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Achieving HMRC and unanimous creditor consent for long-term payment plans was unrealistic.</w:t>
      </w:r>
    </w:p>
    <w:p w14:paraId="3C57A8EB"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3FAA5828" w14:textId="09F80608"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Implementation Timetable</w:t>
      </w:r>
    </w:p>
    <w:p w14:paraId="0B0C1F66" w14:textId="77777777" w:rsidR="00E7666B" w:rsidRPr="006B571D" w:rsidRDefault="00E7666B" w:rsidP="006B571D">
      <w:pPr>
        <w:spacing w:after="0"/>
        <w:rPr>
          <w:rFonts w:ascii="Times New Roman" w:hAnsi="Times New Roman"/>
          <w:sz w:val="24"/>
          <w:szCs w:val="24"/>
        </w:rPr>
      </w:pPr>
    </w:p>
    <w:p w14:paraId="0504D7DE"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Initial HMRC engagement:</w:t>
      </w:r>
      <w:r w:rsidRPr="006B571D">
        <w:rPr>
          <w:rFonts w:ascii="Times New Roman" w:hAnsi="Times New Roman" w:cs="Times New Roman"/>
          <w:sz w:val="24"/>
          <w:szCs w:val="24"/>
        </w:rPr>
        <w:t xml:space="preserve"> March 2025</w:t>
      </w:r>
    </w:p>
    <w:p w14:paraId="25DA1141"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Drafted Explanatory Statement:</w:t>
      </w:r>
      <w:r w:rsidRPr="006B571D">
        <w:rPr>
          <w:rFonts w:ascii="Times New Roman" w:hAnsi="Times New Roman" w:cs="Times New Roman"/>
          <w:sz w:val="24"/>
          <w:szCs w:val="24"/>
        </w:rPr>
        <w:t xml:space="preserve"> May 2025</w:t>
      </w:r>
    </w:p>
    <w:p w14:paraId="39D4A788"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Drafted Practice Statement Letter:</w:t>
      </w:r>
      <w:r w:rsidRPr="006B571D">
        <w:rPr>
          <w:rFonts w:ascii="Times New Roman" w:hAnsi="Times New Roman" w:cs="Times New Roman"/>
          <w:sz w:val="24"/>
          <w:szCs w:val="24"/>
        </w:rPr>
        <w:t xml:space="preserve"> June 2025</w:t>
      </w:r>
    </w:p>
    <w:p w14:paraId="2E2BD9B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Drafted Witness Statement:</w:t>
      </w:r>
      <w:r w:rsidRPr="006B571D">
        <w:rPr>
          <w:rFonts w:ascii="Times New Roman" w:hAnsi="Times New Roman" w:cs="Times New Roman"/>
          <w:sz w:val="24"/>
          <w:szCs w:val="24"/>
        </w:rPr>
        <w:t xml:space="preserve"> June 2025</w:t>
      </w:r>
    </w:p>
    <w:p w14:paraId="634CC62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Convening Hearing:</w:t>
      </w:r>
      <w:r w:rsidRPr="006B571D">
        <w:rPr>
          <w:rFonts w:ascii="Times New Roman" w:hAnsi="Times New Roman" w:cs="Times New Roman"/>
          <w:sz w:val="24"/>
          <w:szCs w:val="24"/>
        </w:rPr>
        <w:t xml:space="preserve"> 25 June 2025 (unchallenged)</w:t>
      </w:r>
    </w:p>
    <w:p w14:paraId="135AC39A"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Creditor Meetings:</w:t>
      </w:r>
      <w:r w:rsidRPr="006B571D">
        <w:rPr>
          <w:rFonts w:ascii="Times New Roman" w:hAnsi="Times New Roman" w:cs="Times New Roman"/>
          <w:sz w:val="24"/>
          <w:szCs w:val="24"/>
        </w:rPr>
        <w:t xml:space="preserve"> 11 July 2025</w:t>
      </w:r>
    </w:p>
    <w:p w14:paraId="1C0EA0F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Sanction Hearing:</w:t>
      </w:r>
      <w:r w:rsidRPr="006B571D">
        <w:rPr>
          <w:rFonts w:ascii="Times New Roman" w:hAnsi="Times New Roman" w:cs="Times New Roman"/>
          <w:sz w:val="24"/>
          <w:szCs w:val="24"/>
        </w:rPr>
        <w:t xml:space="preserve"> 1 August 2025 (unchallenged)</w:t>
      </w:r>
    </w:p>
    <w:p w14:paraId="5EE9B5BF" w14:textId="77777777" w:rsidR="00E7666B" w:rsidRPr="006B571D" w:rsidRDefault="00E7666B" w:rsidP="006B571D">
      <w:pPr>
        <w:pStyle w:val="Heading2"/>
        <w:spacing w:before="0" w:after="0"/>
        <w:rPr>
          <w:rFonts w:ascii="Times New Roman" w:hAnsi="Times New Roman" w:cs="Times New Roman"/>
          <w:b w:val="0"/>
          <w:bCs w:val="0"/>
          <w:sz w:val="24"/>
          <w:szCs w:val="24"/>
        </w:rPr>
      </w:pPr>
    </w:p>
    <w:p w14:paraId="78422282" w14:textId="46EE3F52"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Voting Results</w:t>
      </w:r>
    </w:p>
    <w:p w14:paraId="3D000BF3" w14:textId="77777777" w:rsidR="00E7666B" w:rsidRPr="006B571D" w:rsidRDefault="00E7666B" w:rsidP="006B571D">
      <w:pPr>
        <w:spacing w:after="0"/>
        <w:rPr>
          <w:rFonts w:ascii="Times New Roman" w:hAnsi="Times New Roman"/>
          <w:sz w:val="24"/>
          <w:szCs w:val="24"/>
        </w:rPr>
      </w:pPr>
    </w:p>
    <w:p w14:paraId="1C32BBF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Class A (HMRC):</w:t>
      </w:r>
      <w:r w:rsidRPr="006B571D">
        <w:rPr>
          <w:rFonts w:ascii="Times New Roman" w:hAnsi="Times New Roman" w:cs="Times New Roman"/>
          <w:sz w:val="24"/>
          <w:szCs w:val="24"/>
        </w:rPr>
        <w:t xml:space="preserve"> 100 % for</w:t>
      </w:r>
    </w:p>
    <w:p w14:paraId="61615AA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Class B (Unsecured):</w:t>
      </w:r>
      <w:r w:rsidRPr="006B571D">
        <w:rPr>
          <w:rFonts w:ascii="Times New Roman" w:hAnsi="Times New Roman" w:cs="Times New Roman"/>
          <w:sz w:val="24"/>
          <w:szCs w:val="24"/>
        </w:rPr>
        <w:t xml:space="preserve"> 95.5 % for</w:t>
      </w:r>
    </w:p>
    <w:p w14:paraId="6C64FC85" w14:textId="77777777" w:rsidR="00E7666B" w:rsidRPr="006B571D" w:rsidRDefault="00E7666B" w:rsidP="006B571D">
      <w:pPr>
        <w:pStyle w:val="Bullett1"/>
        <w:numPr>
          <w:ilvl w:val="0"/>
          <w:numId w:val="0"/>
        </w:numPr>
        <w:spacing w:before="0"/>
        <w:rPr>
          <w:rFonts w:ascii="Times New Roman" w:hAnsi="Times New Roman" w:cs="Times New Roman"/>
          <w:sz w:val="24"/>
          <w:szCs w:val="24"/>
        </w:rPr>
      </w:pPr>
    </w:p>
    <w:p w14:paraId="6EE09349" w14:textId="03403A6B" w:rsidR="00E7666B" w:rsidRPr="006B571D" w:rsidRDefault="00E7666B" w:rsidP="006B571D">
      <w:pPr>
        <w:pStyle w:val="Bullett1"/>
        <w:numPr>
          <w:ilvl w:val="0"/>
          <w:numId w:val="0"/>
        </w:numPr>
        <w:spacing w:before="0"/>
        <w:rPr>
          <w:rFonts w:ascii="Times New Roman" w:hAnsi="Times New Roman" w:cs="Times New Roman"/>
          <w:sz w:val="24"/>
          <w:szCs w:val="24"/>
        </w:rPr>
      </w:pPr>
      <w:r w:rsidRPr="006B571D">
        <w:rPr>
          <w:rFonts w:ascii="Times New Roman" w:hAnsi="Times New Roman" w:cs="Times New Roman"/>
          <w:sz w:val="24"/>
          <w:szCs w:val="24"/>
        </w:rPr>
        <w:t>Cross-class cram-down powers were available, but not required.</w:t>
      </w:r>
    </w:p>
    <w:p w14:paraId="520DC25C" w14:textId="77777777" w:rsidR="00E7666B" w:rsidRPr="006B571D" w:rsidRDefault="00E7666B" w:rsidP="006B571D">
      <w:pPr>
        <w:pStyle w:val="Bullett1"/>
        <w:numPr>
          <w:ilvl w:val="0"/>
          <w:numId w:val="0"/>
        </w:numPr>
        <w:spacing w:before="0"/>
        <w:rPr>
          <w:rFonts w:ascii="Times New Roman" w:hAnsi="Times New Roman" w:cs="Times New Roman"/>
          <w:sz w:val="24"/>
          <w:szCs w:val="24"/>
        </w:rPr>
      </w:pPr>
    </w:p>
    <w:p w14:paraId="387F3BB3" w14:textId="77777777"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Contribution and Distribution</w:t>
      </w:r>
    </w:p>
    <w:p w14:paraId="39682E40" w14:textId="77777777" w:rsidR="00E7666B" w:rsidRPr="006B571D" w:rsidRDefault="00E7666B" w:rsidP="006B571D">
      <w:pPr>
        <w:spacing w:after="0"/>
        <w:rPr>
          <w:rFonts w:ascii="Times New Roman" w:hAnsi="Times New Roman"/>
          <w:sz w:val="24"/>
          <w:szCs w:val="24"/>
        </w:rPr>
      </w:pPr>
    </w:p>
    <w:p w14:paraId="04221653" w14:textId="6CC32331"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New investors injected £350,000, contingent on Plan approval:</w:t>
      </w:r>
    </w:p>
    <w:p w14:paraId="1529F5C1" w14:textId="77777777" w:rsidR="00E7666B" w:rsidRPr="006B571D" w:rsidRDefault="00E7666B" w:rsidP="006B571D">
      <w:pPr>
        <w:spacing w:after="0"/>
        <w:rPr>
          <w:rFonts w:ascii="Times New Roman" w:hAnsi="Times New Roman"/>
          <w:sz w:val="24"/>
          <w:szCs w:val="24"/>
        </w:rPr>
      </w:pPr>
    </w:p>
    <w:p w14:paraId="2ABF2EE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HMRC (Class A):</w:t>
      </w:r>
      <w:r w:rsidRPr="006B571D">
        <w:rPr>
          <w:rFonts w:ascii="Times New Roman" w:hAnsi="Times New Roman" w:cs="Times New Roman"/>
          <w:sz w:val="24"/>
          <w:szCs w:val="24"/>
        </w:rPr>
        <w:t xml:space="preserve"> £300,000 → 34.6 p/£ (vs 4.5 p/£ in liquidation)</w:t>
      </w:r>
    </w:p>
    <w:p w14:paraId="0376B846"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Independent unsecured creditors:</w:t>
      </w:r>
      <w:r w:rsidRPr="006B571D">
        <w:rPr>
          <w:rFonts w:ascii="Times New Roman" w:hAnsi="Times New Roman" w:cs="Times New Roman"/>
          <w:sz w:val="24"/>
          <w:szCs w:val="24"/>
        </w:rPr>
        <w:t xml:space="preserve"> £50,000 → 6.8 p/£ (vs nil)</w:t>
      </w:r>
    </w:p>
    <w:p w14:paraId="7C8807EE"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Connected creditors:</w:t>
      </w:r>
      <w:r w:rsidRPr="006B571D">
        <w:rPr>
          <w:rFonts w:ascii="Times New Roman" w:hAnsi="Times New Roman" w:cs="Times New Roman"/>
          <w:sz w:val="24"/>
          <w:szCs w:val="24"/>
        </w:rPr>
        <w:t xml:space="preserve"> Waived dividends.</w:t>
      </w:r>
    </w:p>
    <w:p w14:paraId="0D016C40" w14:textId="77777777" w:rsidR="00E7666B" w:rsidRPr="006B571D" w:rsidRDefault="00E7666B" w:rsidP="006B571D">
      <w:pPr>
        <w:pStyle w:val="Bullett1"/>
        <w:numPr>
          <w:ilvl w:val="0"/>
          <w:numId w:val="0"/>
        </w:numPr>
        <w:spacing w:before="0"/>
        <w:rPr>
          <w:rFonts w:ascii="Times New Roman" w:hAnsi="Times New Roman" w:cs="Times New Roman"/>
          <w:sz w:val="24"/>
          <w:szCs w:val="24"/>
        </w:rPr>
      </w:pPr>
    </w:p>
    <w:p w14:paraId="09A51FA3" w14:textId="0AA28E13" w:rsidR="00E7666B" w:rsidRPr="006B571D" w:rsidRDefault="00E7666B" w:rsidP="006B571D">
      <w:pPr>
        <w:pStyle w:val="Bullett1"/>
        <w:numPr>
          <w:ilvl w:val="0"/>
          <w:numId w:val="0"/>
        </w:numPr>
        <w:spacing w:before="0"/>
        <w:rPr>
          <w:rFonts w:ascii="Times New Roman" w:hAnsi="Times New Roman" w:cs="Times New Roman"/>
          <w:sz w:val="24"/>
          <w:szCs w:val="24"/>
        </w:rPr>
      </w:pPr>
      <w:r w:rsidRPr="006B571D">
        <w:rPr>
          <w:rFonts w:ascii="Times New Roman" w:hAnsi="Times New Roman" w:cs="Times New Roman"/>
          <w:sz w:val="24"/>
          <w:szCs w:val="24"/>
        </w:rPr>
        <w:t>Professional fees were funded separately to protect creditor recoveries.</w:t>
      </w:r>
    </w:p>
    <w:p w14:paraId="19311292" w14:textId="77777777" w:rsidR="00E7666B" w:rsidRPr="006B571D" w:rsidRDefault="00E7666B" w:rsidP="006B571D">
      <w:pPr>
        <w:pStyle w:val="Bullett1"/>
        <w:numPr>
          <w:ilvl w:val="0"/>
          <w:numId w:val="0"/>
        </w:numPr>
        <w:spacing w:before="0"/>
        <w:rPr>
          <w:rFonts w:ascii="Times New Roman" w:hAnsi="Times New Roman" w:cs="Times New Roman"/>
          <w:sz w:val="24"/>
          <w:szCs w:val="24"/>
        </w:rPr>
      </w:pPr>
    </w:p>
    <w:p w14:paraId="1EBB7287" w14:textId="0AA23034" w:rsidR="00E7666B" w:rsidRPr="006B571D" w:rsidRDefault="00E7666B" w:rsidP="006B571D">
      <w:pPr>
        <w:pStyle w:val="Heading2"/>
        <w:spacing w:before="0" w:after="0"/>
        <w:rPr>
          <w:rFonts w:ascii="Times New Roman" w:hAnsi="Times New Roman" w:cs="Times New Roman"/>
          <w:b w:val="0"/>
          <w:bCs w:val="0"/>
          <w:sz w:val="24"/>
          <w:szCs w:val="24"/>
        </w:rPr>
      </w:pPr>
      <w:r w:rsidRPr="006B571D">
        <w:rPr>
          <w:rFonts w:ascii="Times New Roman" w:hAnsi="Times New Roman" w:cs="Times New Roman"/>
          <w:b w:val="0"/>
          <w:bCs w:val="0"/>
          <w:sz w:val="24"/>
          <w:szCs w:val="24"/>
        </w:rPr>
        <w:t>Key Advisers and Roles</w:t>
      </w:r>
    </w:p>
    <w:p w14:paraId="0B1FE11C" w14:textId="77777777" w:rsidR="00E7666B" w:rsidRPr="006B571D" w:rsidRDefault="00E7666B" w:rsidP="006B571D">
      <w:pPr>
        <w:spacing w:after="0"/>
        <w:rPr>
          <w:rFonts w:ascii="Times New Roman" w:hAnsi="Times New Roman"/>
          <w:sz w:val="24"/>
          <w:szCs w:val="24"/>
        </w:rPr>
      </w:pPr>
    </w:p>
    <w:p w14:paraId="1825755E"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Turnaround Advisers:</w:t>
      </w:r>
      <w:r w:rsidRPr="006B571D">
        <w:rPr>
          <w:rFonts w:ascii="Times New Roman" w:hAnsi="Times New Roman" w:cs="Times New Roman"/>
          <w:sz w:val="24"/>
          <w:szCs w:val="24"/>
        </w:rPr>
        <w:t xml:space="preserve"> Tony Groom &amp; Anton de Leeuw (K2 Business Partners) – led negotiations, drafted all Plan documents, implemented turnaround and managed stakeholders.</w:t>
      </w:r>
    </w:p>
    <w:p w14:paraId="7014663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Counsel:</w:t>
      </w:r>
      <w:r w:rsidRPr="006B571D">
        <w:rPr>
          <w:rFonts w:ascii="Times New Roman" w:hAnsi="Times New Roman" w:cs="Times New Roman"/>
          <w:sz w:val="24"/>
          <w:szCs w:val="24"/>
        </w:rPr>
        <w:t xml:space="preserve"> Andrew Mace (Tanfield Chambers) – court representation.</w:t>
      </w:r>
    </w:p>
    <w:p w14:paraId="59A17E3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Solicitors:</w:t>
      </w:r>
      <w:r w:rsidRPr="006B571D">
        <w:rPr>
          <w:rFonts w:ascii="Times New Roman" w:hAnsi="Times New Roman" w:cs="Times New Roman"/>
          <w:sz w:val="24"/>
          <w:szCs w:val="24"/>
        </w:rPr>
        <w:t xml:space="preserve"> Lewis Silkin LLP – filings and legal process.</w:t>
      </w:r>
    </w:p>
    <w:p w14:paraId="23737C6A"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Plan Supervisors:</w:t>
      </w:r>
      <w:r w:rsidRPr="006B571D">
        <w:rPr>
          <w:rFonts w:ascii="Times New Roman" w:hAnsi="Times New Roman" w:cs="Times New Roman"/>
          <w:sz w:val="24"/>
          <w:szCs w:val="24"/>
        </w:rPr>
        <w:t xml:space="preserve"> WSM Marks Bloom LLP – creditor meetings and dividend distribution.</w:t>
      </w:r>
    </w:p>
    <w:p w14:paraId="2078BB16"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Valuers:</w:t>
      </w:r>
      <w:r w:rsidRPr="006B571D">
        <w:rPr>
          <w:rFonts w:ascii="Times New Roman" w:hAnsi="Times New Roman" w:cs="Times New Roman"/>
          <w:sz w:val="24"/>
          <w:szCs w:val="24"/>
        </w:rPr>
        <w:t xml:space="preserve"> Hilco Appraisal Ltd – asset valuations for the “relevant alternative”.</w:t>
      </w:r>
    </w:p>
    <w:p w14:paraId="52AE06E5" w14:textId="610B94B6"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Adjudication Expert:</w:t>
      </w:r>
      <w:r w:rsidRPr="006B571D">
        <w:rPr>
          <w:rFonts w:ascii="Times New Roman" w:hAnsi="Times New Roman" w:cs="Times New Roman"/>
          <w:sz w:val="24"/>
          <w:szCs w:val="24"/>
        </w:rPr>
        <w:t xml:space="preserve"> Tyrone Courtman (RSM UK).</w:t>
      </w:r>
    </w:p>
    <w:p w14:paraId="1454E409"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794B591A" w14:textId="17BCDF8D"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lastRenderedPageBreak/>
        <w:t>Benefits of the Plan</w:t>
      </w:r>
    </w:p>
    <w:p w14:paraId="43D8D321" w14:textId="77777777" w:rsidR="00E7666B" w:rsidRPr="006B571D" w:rsidRDefault="00E7666B" w:rsidP="006B571D">
      <w:pPr>
        <w:spacing w:after="0"/>
        <w:rPr>
          <w:rFonts w:ascii="Times New Roman" w:hAnsi="Times New Roman"/>
          <w:sz w:val="24"/>
          <w:szCs w:val="24"/>
        </w:rPr>
      </w:pPr>
    </w:p>
    <w:p w14:paraId="5AA63973" w14:textId="70286796"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r w:rsidRPr="006B571D">
        <w:rPr>
          <w:rFonts w:ascii="Times New Roman" w:hAnsi="Times New Roman" w:cs="Times New Roman"/>
          <w:sz w:val="24"/>
          <w:szCs w:val="24"/>
        </w:rPr>
        <w:t>For Creditors</w:t>
      </w:r>
    </w:p>
    <w:p w14:paraId="591AD416" w14:textId="77777777"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p>
    <w:p w14:paraId="35F6C61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Higher recoveries:</w:t>
      </w:r>
      <w:r w:rsidRPr="006B571D">
        <w:rPr>
          <w:rFonts w:ascii="Times New Roman" w:hAnsi="Times New Roman" w:cs="Times New Roman"/>
          <w:sz w:val="24"/>
          <w:szCs w:val="24"/>
        </w:rPr>
        <w:t xml:space="preserve"> Significantly better returns than in liquidation.</w:t>
      </w:r>
    </w:p>
    <w:p w14:paraId="571B68D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Governance:</w:t>
      </w:r>
      <w:r w:rsidRPr="006B571D">
        <w:rPr>
          <w:rFonts w:ascii="Times New Roman" w:hAnsi="Times New Roman" w:cs="Times New Roman"/>
          <w:sz w:val="24"/>
          <w:szCs w:val="24"/>
        </w:rPr>
        <w:t xml:space="preserve"> Independent advice and court oversight ensured fairness.</w:t>
      </w:r>
    </w:p>
    <w:p w14:paraId="5191777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Legal certainty:</w:t>
      </w:r>
      <w:r w:rsidRPr="006B571D">
        <w:rPr>
          <w:rFonts w:ascii="Times New Roman" w:hAnsi="Times New Roman" w:cs="Times New Roman"/>
          <w:sz w:val="24"/>
          <w:szCs w:val="24"/>
        </w:rPr>
        <w:t xml:space="preserve"> Court sanction provided finality.</w:t>
      </w:r>
    </w:p>
    <w:p w14:paraId="54A1D48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Transparency:</w:t>
      </w:r>
      <w:r w:rsidRPr="006B571D">
        <w:rPr>
          <w:rFonts w:ascii="Times New Roman" w:hAnsi="Times New Roman" w:cs="Times New Roman"/>
          <w:sz w:val="24"/>
          <w:szCs w:val="24"/>
        </w:rPr>
        <w:t xml:space="preserve"> Disclosure built trust.</w:t>
      </w:r>
    </w:p>
    <w:p w14:paraId="7D361D50" w14:textId="77777777" w:rsidR="006B571D" w:rsidRPr="006B571D" w:rsidRDefault="006B571D" w:rsidP="006B571D">
      <w:pPr>
        <w:pStyle w:val="Bullet1header"/>
        <w:numPr>
          <w:ilvl w:val="0"/>
          <w:numId w:val="0"/>
        </w:numPr>
        <w:spacing w:before="0"/>
        <w:ind w:left="709" w:hanging="425"/>
        <w:rPr>
          <w:rFonts w:ascii="Times New Roman" w:hAnsi="Times New Roman" w:cs="Times New Roman"/>
          <w:sz w:val="24"/>
          <w:szCs w:val="24"/>
        </w:rPr>
      </w:pPr>
    </w:p>
    <w:p w14:paraId="5F62D18C" w14:textId="2C6D6E88"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r w:rsidRPr="006B571D">
        <w:rPr>
          <w:rFonts w:ascii="Times New Roman" w:hAnsi="Times New Roman" w:cs="Times New Roman"/>
          <w:sz w:val="24"/>
          <w:szCs w:val="24"/>
        </w:rPr>
        <w:t>For the Business</w:t>
      </w:r>
    </w:p>
    <w:p w14:paraId="46B21B53" w14:textId="77777777"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p>
    <w:p w14:paraId="6D0DE2E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Going-concern survival:</w:t>
      </w:r>
      <w:r w:rsidRPr="006B571D">
        <w:rPr>
          <w:rFonts w:ascii="Times New Roman" w:hAnsi="Times New Roman" w:cs="Times New Roman"/>
          <w:sz w:val="24"/>
          <w:szCs w:val="24"/>
        </w:rPr>
        <w:t xml:space="preserve"> Operations and trading continued uninterrupted.</w:t>
      </w:r>
    </w:p>
    <w:p w14:paraId="48C62868"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Preservation of IP and brand:</w:t>
      </w:r>
      <w:r w:rsidRPr="006B571D">
        <w:rPr>
          <w:rFonts w:ascii="Times New Roman" w:hAnsi="Times New Roman" w:cs="Times New Roman"/>
          <w:sz w:val="24"/>
          <w:szCs w:val="24"/>
        </w:rPr>
        <w:t xml:space="preserve"> Avoided value destruction by taint with insolvency.</w:t>
      </w:r>
    </w:p>
    <w:p w14:paraId="7509070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Client continuity:</w:t>
      </w:r>
      <w:r w:rsidRPr="006B571D">
        <w:rPr>
          <w:rFonts w:ascii="Times New Roman" w:hAnsi="Times New Roman" w:cs="Times New Roman"/>
          <w:sz w:val="24"/>
          <w:szCs w:val="24"/>
        </w:rPr>
        <w:t xml:space="preserve"> Key relationships maintained.</w:t>
      </w:r>
    </w:p>
    <w:p w14:paraId="766085CA"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Employment retention:</w:t>
      </w:r>
      <w:r w:rsidRPr="006B571D">
        <w:rPr>
          <w:rFonts w:ascii="Times New Roman" w:hAnsi="Times New Roman" w:cs="Times New Roman"/>
          <w:sz w:val="24"/>
          <w:szCs w:val="24"/>
        </w:rPr>
        <w:t xml:space="preserve"> Jobs and freelancer opportunities safeguarded.</w:t>
      </w:r>
    </w:p>
    <w:p w14:paraId="6FF99130" w14:textId="39CF2894"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Balance-sheet repair:</w:t>
      </w:r>
      <w:r w:rsidRPr="006B571D">
        <w:rPr>
          <w:rFonts w:ascii="Times New Roman" w:hAnsi="Times New Roman" w:cs="Times New Roman"/>
          <w:sz w:val="24"/>
          <w:szCs w:val="24"/>
        </w:rPr>
        <w:t xml:space="preserve"> Debt reduction restored solvency.</w:t>
      </w:r>
    </w:p>
    <w:p w14:paraId="5B547F0B"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5443D38D" w14:textId="539ABB90"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r w:rsidRPr="006B571D">
        <w:rPr>
          <w:rFonts w:ascii="Times New Roman" w:hAnsi="Times New Roman" w:cs="Times New Roman"/>
          <w:sz w:val="24"/>
          <w:szCs w:val="24"/>
        </w:rPr>
        <w:t>Legal and Procedural Advantages</w:t>
      </w:r>
    </w:p>
    <w:p w14:paraId="721A52BC" w14:textId="77777777" w:rsidR="00E7666B" w:rsidRPr="006B571D" w:rsidRDefault="00E7666B" w:rsidP="006B571D">
      <w:pPr>
        <w:pStyle w:val="Bullet1header"/>
        <w:numPr>
          <w:ilvl w:val="0"/>
          <w:numId w:val="0"/>
        </w:numPr>
        <w:spacing w:before="0"/>
        <w:ind w:left="709" w:hanging="425"/>
        <w:rPr>
          <w:rFonts w:ascii="Times New Roman" w:hAnsi="Times New Roman" w:cs="Times New Roman"/>
          <w:sz w:val="24"/>
          <w:szCs w:val="24"/>
        </w:rPr>
      </w:pPr>
    </w:p>
    <w:p w14:paraId="49179E7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Binding effect:</w:t>
      </w:r>
      <w:r w:rsidRPr="006B571D">
        <w:rPr>
          <w:rFonts w:ascii="Times New Roman" w:hAnsi="Times New Roman" w:cs="Times New Roman"/>
          <w:sz w:val="24"/>
          <w:szCs w:val="24"/>
        </w:rPr>
        <w:t xml:space="preserve"> Plan bound dissenting creditors.</w:t>
      </w:r>
    </w:p>
    <w:p w14:paraId="2A2717B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HMRC compromise:</w:t>
      </w:r>
      <w:r w:rsidRPr="006B571D">
        <w:rPr>
          <w:rFonts w:ascii="Times New Roman" w:hAnsi="Times New Roman" w:cs="Times New Roman"/>
          <w:sz w:val="24"/>
          <w:szCs w:val="24"/>
        </w:rPr>
        <w:t xml:space="preserve"> Ability to reduce secondary preferential claims—a key limitation of CVAs.</w:t>
      </w:r>
    </w:p>
    <w:p w14:paraId="38C4C0A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Flexibility re classes:</w:t>
      </w:r>
      <w:r w:rsidRPr="006B571D">
        <w:rPr>
          <w:rFonts w:ascii="Times New Roman" w:hAnsi="Times New Roman" w:cs="Times New Roman"/>
          <w:sz w:val="24"/>
          <w:szCs w:val="24"/>
        </w:rPr>
        <w:t xml:space="preserve"> Separate treatment for different creditor groups.</w:t>
      </w:r>
    </w:p>
    <w:p w14:paraId="6F20DC2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Positive perception:</w:t>
      </w:r>
      <w:r w:rsidRPr="006B571D">
        <w:rPr>
          <w:rFonts w:ascii="Times New Roman" w:hAnsi="Times New Roman" w:cs="Times New Roman"/>
          <w:sz w:val="24"/>
          <w:szCs w:val="24"/>
        </w:rPr>
        <w:t xml:space="preserve"> A solvent-style process without insolvency stigma.</w:t>
      </w:r>
    </w:p>
    <w:p w14:paraId="5AABAC0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b/>
          <w:bCs/>
          <w:sz w:val="24"/>
          <w:szCs w:val="24"/>
        </w:rPr>
        <w:t>Cross-class cram-down option:</w:t>
      </w:r>
      <w:r w:rsidRPr="006B571D">
        <w:rPr>
          <w:rFonts w:ascii="Times New Roman" w:hAnsi="Times New Roman" w:cs="Times New Roman"/>
          <w:sz w:val="24"/>
          <w:szCs w:val="24"/>
        </w:rPr>
        <w:t xml:space="preserve"> Contingency for dealing with dissenting classes.</w:t>
      </w:r>
    </w:p>
    <w:p w14:paraId="462AFCC5" w14:textId="77777777" w:rsidR="00E7666B" w:rsidRPr="006B571D" w:rsidRDefault="00E7666B" w:rsidP="006B571D">
      <w:pPr>
        <w:pStyle w:val="Heading1"/>
        <w:spacing w:before="0" w:after="0"/>
        <w:rPr>
          <w:rFonts w:ascii="Times New Roman" w:hAnsi="Times New Roman" w:cs="Times New Roman"/>
          <w:sz w:val="24"/>
          <w:szCs w:val="24"/>
        </w:rPr>
      </w:pPr>
    </w:p>
    <w:p w14:paraId="06F43263" w14:textId="76E4E4D0"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Post Plan Performance</w:t>
      </w:r>
    </w:p>
    <w:p w14:paraId="18A96603" w14:textId="77777777" w:rsidR="00E7666B" w:rsidRPr="006B571D" w:rsidRDefault="00E7666B" w:rsidP="006B571D">
      <w:pPr>
        <w:spacing w:after="0"/>
        <w:rPr>
          <w:rFonts w:ascii="Times New Roman" w:hAnsi="Times New Roman"/>
          <w:sz w:val="24"/>
          <w:szCs w:val="24"/>
        </w:rPr>
      </w:pPr>
    </w:p>
    <w:p w14:paraId="613DB443" w14:textId="35BB3C5C"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After sanction, Distributed returned to modest operating profitability and resumed growth without increasing its cost base, securing new client contracts and stabilizing cash flow with prospects for future growth.</w:t>
      </w:r>
    </w:p>
    <w:p w14:paraId="6B0762E5" w14:textId="77777777" w:rsidR="00E7666B" w:rsidRPr="006B571D" w:rsidRDefault="00E7666B" w:rsidP="006B571D">
      <w:pPr>
        <w:spacing w:after="0"/>
        <w:rPr>
          <w:rFonts w:ascii="Times New Roman" w:hAnsi="Times New Roman"/>
          <w:sz w:val="24"/>
          <w:szCs w:val="24"/>
        </w:rPr>
      </w:pPr>
    </w:p>
    <w:p w14:paraId="1739664E" w14:textId="1569E45A"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Lessons and Insights for SMEs</w:t>
      </w:r>
    </w:p>
    <w:p w14:paraId="1A6A1F99" w14:textId="77777777" w:rsidR="00E7666B" w:rsidRPr="006B571D" w:rsidRDefault="00E7666B" w:rsidP="006B571D">
      <w:pPr>
        <w:spacing w:after="0"/>
        <w:rPr>
          <w:rFonts w:ascii="Times New Roman" w:hAnsi="Times New Roman"/>
          <w:sz w:val="24"/>
          <w:szCs w:val="24"/>
        </w:rPr>
      </w:pPr>
    </w:p>
    <w:p w14:paraId="10166A66"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Part 26A is Viable for SMEs</w:t>
      </w:r>
    </w:p>
    <w:p w14:paraId="79A5B366" w14:textId="77777777" w:rsidR="00E7666B" w:rsidRPr="006B571D" w:rsidRDefault="00E7666B" w:rsidP="006B571D">
      <w:pPr>
        <w:spacing w:after="0"/>
        <w:rPr>
          <w:rFonts w:ascii="Times New Roman" w:hAnsi="Times New Roman"/>
          <w:sz w:val="24"/>
          <w:szCs w:val="24"/>
        </w:rPr>
      </w:pPr>
    </w:p>
    <w:p w14:paraId="46FC770A" w14:textId="64E05ABF"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This case disproves the belief that Restructuring Plans are too complex or expensive for smaller firms. With disciplined cost management and efficient use of advisers, total costs were comparable to a CVA.</w:t>
      </w:r>
    </w:p>
    <w:p w14:paraId="0E06339F" w14:textId="77777777" w:rsidR="00E7666B" w:rsidRPr="006B571D" w:rsidRDefault="00E7666B" w:rsidP="006B571D">
      <w:pPr>
        <w:spacing w:after="0"/>
        <w:rPr>
          <w:rFonts w:ascii="Times New Roman" w:hAnsi="Times New Roman"/>
          <w:sz w:val="24"/>
          <w:szCs w:val="24"/>
        </w:rPr>
      </w:pPr>
    </w:p>
    <w:p w14:paraId="5E6F8602" w14:textId="1EF71343" w:rsidR="00E7666B" w:rsidRPr="006B571D" w:rsidRDefault="00E7666B" w:rsidP="006B571D">
      <w:pPr>
        <w:pStyle w:val="Heading2"/>
        <w:spacing w:before="0" w:after="0"/>
        <w:rPr>
          <w:rFonts w:ascii="Times New Roman" w:hAnsi="Times New Roman" w:cs="Times New Roman"/>
          <w:sz w:val="24"/>
          <w:szCs w:val="24"/>
        </w:rPr>
      </w:pPr>
      <w:r w:rsidRPr="006B571D">
        <w:rPr>
          <w:rFonts w:ascii="Times New Roman" w:hAnsi="Times New Roman" w:cs="Times New Roman"/>
          <w:sz w:val="24"/>
          <w:szCs w:val="24"/>
        </w:rPr>
        <w:t>Ideal use-cases:</w:t>
      </w:r>
    </w:p>
    <w:p w14:paraId="07AAA32C" w14:textId="77777777" w:rsidR="00E7666B" w:rsidRPr="006B571D" w:rsidRDefault="00E7666B" w:rsidP="006B571D">
      <w:pPr>
        <w:spacing w:after="0"/>
        <w:rPr>
          <w:rFonts w:ascii="Times New Roman" w:hAnsi="Times New Roman"/>
          <w:sz w:val="24"/>
          <w:szCs w:val="24"/>
        </w:rPr>
      </w:pPr>
    </w:p>
    <w:p w14:paraId="7774F096" w14:textId="77777777" w:rsidR="00E7666B" w:rsidRPr="006B571D" w:rsidRDefault="00E7666B" w:rsidP="006B571D">
      <w:pPr>
        <w:pStyle w:val="Bullet1heading"/>
        <w:spacing w:before="0"/>
        <w:rPr>
          <w:rFonts w:ascii="Times New Roman" w:hAnsi="Times New Roman" w:cs="Times New Roman"/>
          <w:b w:val="0"/>
          <w:bCs w:val="0"/>
          <w:sz w:val="24"/>
          <w:szCs w:val="24"/>
        </w:rPr>
      </w:pPr>
      <w:r w:rsidRPr="006B571D">
        <w:rPr>
          <w:rFonts w:ascii="Times New Roman" w:hAnsi="Times New Roman" w:cs="Times New Roman"/>
          <w:b w:val="0"/>
          <w:bCs w:val="0"/>
          <w:sz w:val="24"/>
          <w:szCs w:val="24"/>
        </w:rPr>
        <w:t>SMEs with significant HMRC preferential debt;</w:t>
      </w:r>
    </w:p>
    <w:p w14:paraId="5C3E9FFA" w14:textId="38427A72" w:rsidR="00E7666B" w:rsidRPr="006B571D" w:rsidRDefault="00E7666B" w:rsidP="006B571D">
      <w:pPr>
        <w:pStyle w:val="Bullet1heading"/>
        <w:spacing w:before="0"/>
        <w:rPr>
          <w:rFonts w:ascii="Times New Roman" w:hAnsi="Times New Roman" w:cs="Times New Roman"/>
          <w:b w:val="0"/>
          <w:bCs w:val="0"/>
          <w:sz w:val="24"/>
          <w:szCs w:val="24"/>
        </w:rPr>
      </w:pPr>
      <w:r w:rsidRPr="006B571D">
        <w:rPr>
          <w:rFonts w:ascii="Times New Roman" w:hAnsi="Times New Roman" w:cs="Times New Roman"/>
          <w:b w:val="0"/>
          <w:bCs w:val="0"/>
          <w:sz w:val="24"/>
          <w:szCs w:val="24"/>
        </w:rPr>
        <w:t>Viable operations burdened by historic liabilities.</w:t>
      </w:r>
    </w:p>
    <w:p w14:paraId="69602860" w14:textId="77777777" w:rsidR="00E7666B" w:rsidRPr="006B571D" w:rsidRDefault="00E7666B" w:rsidP="006B571D">
      <w:pPr>
        <w:pStyle w:val="Bullet1heading"/>
        <w:numPr>
          <w:ilvl w:val="0"/>
          <w:numId w:val="0"/>
        </w:numPr>
        <w:spacing w:before="0"/>
        <w:ind w:left="284"/>
        <w:rPr>
          <w:rFonts w:ascii="Times New Roman" w:hAnsi="Times New Roman" w:cs="Times New Roman"/>
          <w:b w:val="0"/>
          <w:bCs w:val="0"/>
          <w:sz w:val="24"/>
          <w:szCs w:val="24"/>
        </w:rPr>
      </w:pPr>
    </w:p>
    <w:p w14:paraId="698C32D4"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Early Creditor Engagement is Critical</w:t>
      </w:r>
    </w:p>
    <w:p w14:paraId="13C27236" w14:textId="77777777" w:rsidR="00E7666B" w:rsidRPr="006B571D" w:rsidRDefault="00E7666B" w:rsidP="006B571D">
      <w:pPr>
        <w:spacing w:after="0"/>
        <w:rPr>
          <w:rFonts w:ascii="Times New Roman" w:hAnsi="Times New Roman"/>
          <w:sz w:val="24"/>
          <w:szCs w:val="24"/>
        </w:rPr>
      </w:pPr>
    </w:p>
    <w:p w14:paraId="4286D644" w14:textId="25A4468E"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 xml:space="preserve">Open communication builds confidence and reduces the risk of enforcement action. Distributed issued seven Practice Statement updates to keep stakeholders informed. Early engagement also </w:t>
      </w:r>
      <w:r w:rsidRPr="006B571D">
        <w:rPr>
          <w:rFonts w:ascii="Times New Roman" w:hAnsi="Times New Roman"/>
          <w:sz w:val="24"/>
          <w:szCs w:val="24"/>
        </w:rPr>
        <w:lastRenderedPageBreak/>
        <w:t>prevents court challenges and fosters trust and cooperation - though it must be managed carefully to avoid opportunistic creditor petitions.</w:t>
      </w:r>
    </w:p>
    <w:p w14:paraId="2A336D42" w14:textId="77777777" w:rsidR="00E7666B" w:rsidRPr="006B571D" w:rsidRDefault="00E7666B" w:rsidP="006B571D">
      <w:pPr>
        <w:spacing w:after="0"/>
        <w:rPr>
          <w:rFonts w:ascii="Times New Roman" w:hAnsi="Times New Roman"/>
          <w:sz w:val="24"/>
          <w:szCs w:val="24"/>
        </w:rPr>
      </w:pPr>
    </w:p>
    <w:p w14:paraId="49D6D415" w14:textId="11F3553F"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HMRC Requires Targeted Engagement</w:t>
      </w:r>
    </w:p>
    <w:p w14:paraId="3F1A0450" w14:textId="77777777" w:rsidR="00E7666B" w:rsidRPr="006B571D" w:rsidRDefault="00E7666B" w:rsidP="006B571D">
      <w:pPr>
        <w:pStyle w:val="List1header"/>
        <w:numPr>
          <w:ilvl w:val="0"/>
          <w:numId w:val="0"/>
        </w:numPr>
        <w:spacing w:before="0"/>
        <w:rPr>
          <w:rFonts w:ascii="Times New Roman" w:hAnsi="Times New Roman" w:cs="Times New Roman"/>
          <w:sz w:val="24"/>
          <w:szCs w:val="24"/>
        </w:rPr>
      </w:pPr>
    </w:p>
    <w:p w14:paraId="5192FA40"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Provide early, detailed disclosure of financials and valuations.</w:t>
      </w:r>
    </w:p>
    <w:p w14:paraId="0E97542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Circulate draft Explanatory Statements to build trust.</w:t>
      </w:r>
    </w:p>
    <w:p w14:paraId="5E84FD8A"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Demonstrate superior recoveries to the “relevant alternative.”</w:t>
      </w:r>
    </w:p>
    <w:p w14:paraId="2EFF8401"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Offer written assurances on projections and governance.</w:t>
      </w:r>
    </w:p>
    <w:p w14:paraId="1B77F148" w14:textId="64245444"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Engage multiple HMRC departments separately to prevent petitions and enforcement during negotiations.</w:t>
      </w:r>
    </w:p>
    <w:p w14:paraId="60C1A16C"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6370259B"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Radical Transparency Builds Trust</w:t>
      </w:r>
    </w:p>
    <w:p w14:paraId="520F5375" w14:textId="77777777" w:rsidR="00E7666B" w:rsidRPr="006B571D" w:rsidRDefault="00E7666B" w:rsidP="006B571D">
      <w:pPr>
        <w:spacing w:after="0"/>
        <w:rPr>
          <w:rFonts w:ascii="Times New Roman" w:hAnsi="Times New Roman"/>
          <w:sz w:val="24"/>
          <w:szCs w:val="24"/>
        </w:rPr>
      </w:pPr>
    </w:p>
    <w:p w14:paraId="605F8BF7" w14:textId="31018F7D"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Creditor confidence depends on comprehensive disclosure of:</w:t>
      </w:r>
    </w:p>
    <w:p w14:paraId="23EA7C0A" w14:textId="77777777" w:rsidR="00E7666B" w:rsidRPr="006B571D" w:rsidRDefault="00E7666B" w:rsidP="006B571D">
      <w:pPr>
        <w:spacing w:after="0"/>
        <w:rPr>
          <w:rFonts w:ascii="Times New Roman" w:hAnsi="Times New Roman"/>
          <w:sz w:val="24"/>
          <w:szCs w:val="24"/>
        </w:rPr>
      </w:pPr>
    </w:p>
    <w:p w14:paraId="4C8968B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Historical and current financials;</w:t>
      </w:r>
    </w:p>
    <w:p w14:paraId="4E82C9C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Management changes and credentials;</w:t>
      </w:r>
    </w:p>
    <w:p w14:paraId="0A8307C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Alternatives and comparative outcomes;</w:t>
      </w:r>
    </w:p>
    <w:p w14:paraId="5FCEDB4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Adviser roles, fees, and connected-party relationships.</w:t>
      </w:r>
    </w:p>
    <w:p w14:paraId="607B5AF2" w14:textId="77777777" w:rsidR="00E7666B" w:rsidRPr="006B571D" w:rsidRDefault="00E7666B" w:rsidP="006B571D">
      <w:pPr>
        <w:spacing w:after="0"/>
        <w:rPr>
          <w:rFonts w:ascii="Times New Roman" w:hAnsi="Times New Roman"/>
          <w:sz w:val="24"/>
          <w:szCs w:val="24"/>
        </w:rPr>
      </w:pPr>
    </w:p>
    <w:p w14:paraId="1DBFE9AC" w14:textId="775CD3F2"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Over-disclosure is preferable to suspicion; transparency was pivotal to DSTBTD’s unchallenged court approval.</w:t>
      </w:r>
    </w:p>
    <w:p w14:paraId="3F3BE98B" w14:textId="77777777" w:rsidR="00E7666B" w:rsidRPr="006B571D" w:rsidRDefault="00E7666B" w:rsidP="006B571D">
      <w:pPr>
        <w:spacing w:after="0"/>
        <w:rPr>
          <w:rFonts w:ascii="Times New Roman" w:hAnsi="Times New Roman"/>
          <w:sz w:val="24"/>
          <w:szCs w:val="24"/>
        </w:rPr>
      </w:pPr>
    </w:p>
    <w:p w14:paraId="66743703"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Creditor Class Composition and Exclusion of Stakeholders Needs Consideration</w:t>
      </w:r>
    </w:p>
    <w:p w14:paraId="2E165D78" w14:textId="77777777" w:rsidR="00E7666B" w:rsidRPr="006B571D" w:rsidRDefault="00E7666B" w:rsidP="006B571D">
      <w:pPr>
        <w:spacing w:after="0"/>
        <w:rPr>
          <w:rFonts w:ascii="Times New Roman" w:hAnsi="Times New Roman"/>
          <w:sz w:val="24"/>
          <w:szCs w:val="24"/>
        </w:rPr>
      </w:pPr>
    </w:p>
    <w:p w14:paraId="136F4B87" w14:textId="2B0C82DC"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Courts scrutinize creditors and other stakeholders with different economic interests despite many having similar legal rights in insolvency. Separate classes may be necessary to ensure fairness and avoid challenges. Cross-class cram-down can apply only to “in-the-money” creditors, so understanding valuation outcomes is essential. The beneficial interest of different stakeholders and likely need for contribution such as from shareholders and secured lenders should also be taken into account.</w:t>
      </w:r>
    </w:p>
    <w:p w14:paraId="1A050997" w14:textId="77777777" w:rsidR="00E7666B" w:rsidRPr="006B571D" w:rsidRDefault="00E7666B" w:rsidP="006B571D">
      <w:pPr>
        <w:spacing w:after="0"/>
        <w:rPr>
          <w:rFonts w:ascii="Times New Roman" w:hAnsi="Times New Roman"/>
          <w:sz w:val="24"/>
          <w:szCs w:val="24"/>
        </w:rPr>
      </w:pPr>
    </w:p>
    <w:p w14:paraId="2FB140ED"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Investor Support and New Money are Decisive</w:t>
      </w:r>
    </w:p>
    <w:p w14:paraId="14FCC127" w14:textId="77777777" w:rsidR="00E7666B" w:rsidRPr="006B571D" w:rsidRDefault="00E7666B" w:rsidP="006B571D">
      <w:pPr>
        <w:spacing w:after="0"/>
        <w:rPr>
          <w:rFonts w:ascii="Times New Roman" w:hAnsi="Times New Roman"/>
          <w:sz w:val="24"/>
          <w:szCs w:val="24"/>
        </w:rPr>
      </w:pPr>
    </w:p>
    <w:p w14:paraId="3E14977E" w14:textId="47D5F832"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The £350k new loan was critical. Fresh capital:</w:t>
      </w:r>
    </w:p>
    <w:p w14:paraId="769F783E" w14:textId="77777777" w:rsidR="00E7666B" w:rsidRPr="006B571D" w:rsidRDefault="00E7666B" w:rsidP="006B571D">
      <w:pPr>
        <w:spacing w:after="0"/>
        <w:rPr>
          <w:rFonts w:ascii="Times New Roman" w:hAnsi="Times New Roman"/>
          <w:sz w:val="24"/>
          <w:szCs w:val="24"/>
        </w:rPr>
      </w:pPr>
    </w:p>
    <w:p w14:paraId="37049CFB"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Demonstrated investor confidence (“skin in the game”);</w:t>
      </w:r>
    </w:p>
    <w:p w14:paraId="47072BB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Improved creditor psychology and HMRC’s perception of fairness;</w:t>
      </w:r>
    </w:p>
    <w:p w14:paraId="7924DFD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Funded distributions that made the Plan more attractive.</w:t>
      </w:r>
    </w:p>
    <w:p w14:paraId="26B4BAA2" w14:textId="77777777" w:rsidR="00E7666B" w:rsidRPr="006B571D" w:rsidRDefault="00E7666B" w:rsidP="006B571D">
      <w:pPr>
        <w:spacing w:after="0"/>
        <w:rPr>
          <w:rFonts w:ascii="Times New Roman" w:hAnsi="Times New Roman"/>
          <w:sz w:val="24"/>
          <w:szCs w:val="24"/>
        </w:rPr>
      </w:pPr>
    </w:p>
    <w:p w14:paraId="16AC75E8" w14:textId="7E68A9EC"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Fair allocation of benefits between shareholders and creditors is central to the court’s “fairness test.”</w:t>
      </w:r>
    </w:p>
    <w:p w14:paraId="104BB11B" w14:textId="77777777" w:rsidR="00E7666B" w:rsidRPr="006B571D" w:rsidRDefault="00E7666B" w:rsidP="006B571D">
      <w:pPr>
        <w:spacing w:after="0"/>
        <w:rPr>
          <w:rFonts w:ascii="Times New Roman" w:hAnsi="Times New Roman"/>
          <w:sz w:val="24"/>
          <w:szCs w:val="24"/>
        </w:rPr>
      </w:pPr>
    </w:p>
    <w:p w14:paraId="7133F24F" w14:textId="42D621B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Cost Control Determines Feasibility</w:t>
      </w:r>
    </w:p>
    <w:p w14:paraId="2BD83935" w14:textId="77777777" w:rsidR="00E7666B" w:rsidRPr="006B571D" w:rsidRDefault="00E7666B" w:rsidP="006B571D">
      <w:pPr>
        <w:pStyle w:val="List1header"/>
        <w:numPr>
          <w:ilvl w:val="0"/>
          <w:numId w:val="0"/>
        </w:numPr>
        <w:spacing w:before="0"/>
        <w:rPr>
          <w:rFonts w:ascii="Times New Roman" w:hAnsi="Times New Roman" w:cs="Times New Roman"/>
          <w:sz w:val="24"/>
          <w:szCs w:val="24"/>
        </w:rPr>
      </w:pPr>
    </w:p>
    <w:p w14:paraId="70E3C745"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Upfront fee agreements and scope clarity prevent cost inflation.</w:t>
      </w:r>
    </w:p>
    <w:p w14:paraId="6D608498"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Abort thresholds: ensure the Plan remains economic.</w:t>
      </w:r>
    </w:p>
    <w:p w14:paraId="2ACBB60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Adviser efficiency: K2 prepared most documentation in-house, minimizing legal fees.</w:t>
      </w:r>
    </w:p>
    <w:p w14:paraId="6412F94A"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Total cost similar to a CVA.</w:t>
      </w:r>
    </w:p>
    <w:p w14:paraId="46F2886A" w14:textId="211763EC"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lastRenderedPageBreak/>
        <w:t>Transparency: Full fee disclosure built confidence among creditors and the court.</w:t>
      </w:r>
    </w:p>
    <w:p w14:paraId="19611B05"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61682000"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Operational Change is Key to Viability</w:t>
      </w:r>
    </w:p>
    <w:p w14:paraId="3367AFD4" w14:textId="77777777" w:rsidR="00E7666B" w:rsidRPr="006B571D" w:rsidRDefault="00E7666B" w:rsidP="006B571D">
      <w:pPr>
        <w:spacing w:after="0"/>
        <w:rPr>
          <w:rFonts w:ascii="Times New Roman" w:hAnsi="Times New Roman"/>
          <w:sz w:val="24"/>
          <w:szCs w:val="24"/>
        </w:rPr>
      </w:pPr>
    </w:p>
    <w:p w14:paraId="72A08381" w14:textId="2BD1378D"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The turnaround plan must address the root causes of distress, not merely restructure liabilities. Distributed’s success owed much to fundamental business reform, including leadership change, cost rationalization, and improved financial control. Sustainable recovery required:</w:t>
      </w:r>
    </w:p>
    <w:p w14:paraId="144CE668" w14:textId="77777777" w:rsidR="00E7666B" w:rsidRPr="006B571D" w:rsidRDefault="00E7666B" w:rsidP="006B571D">
      <w:pPr>
        <w:spacing w:after="0"/>
        <w:rPr>
          <w:rFonts w:ascii="Times New Roman" w:hAnsi="Times New Roman"/>
          <w:sz w:val="24"/>
          <w:szCs w:val="24"/>
        </w:rPr>
      </w:pPr>
    </w:p>
    <w:p w14:paraId="12E1CE19"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Clear strategy;</w:t>
      </w:r>
    </w:p>
    <w:p w14:paraId="7BAC4DA6"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Strengthened management capability;</w:t>
      </w:r>
    </w:p>
    <w:p w14:paraId="1C2BDED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Margin focus and cost discipline;</w:t>
      </w:r>
    </w:p>
    <w:p w14:paraId="5A1038DD"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Diversified client base;</w:t>
      </w:r>
    </w:p>
    <w:p w14:paraId="3B626BE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Robust systems and governance.</w:t>
      </w:r>
    </w:p>
    <w:p w14:paraId="765F1C49" w14:textId="77777777" w:rsidR="00E7666B" w:rsidRPr="006B571D" w:rsidRDefault="00E7666B" w:rsidP="006B571D">
      <w:pPr>
        <w:spacing w:after="0"/>
        <w:rPr>
          <w:rFonts w:ascii="Times New Roman" w:hAnsi="Times New Roman"/>
          <w:sz w:val="24"/>
          <w:szCs w:val="24"/>
        </w:rPr>
      </w:pPr>
    </w:p>
    <w:p w14:paraId="49D31D51" w14:textId="60B5C23D"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Debt relief alone would not have saved the company - operational change was essential.</w:t>
      </w:r>
    </w:p>
    <w:p w14:paraId="37E9996B" w14:textId="77777777" w:rsidR="00E7666B" w:rsidRPr="006B571D" w:rsidRDefault="00E7666B" w:rsidP="006B571D">
      <w:pPr>
        <w:spacing w:after="0"/>
        <w:rPr>
          <w:rFonts w:ascii="Times New Roman" w:hAnsi="Times New Roman"/>
          <w:sz w:val="24"/>
          <w:szCs w:val="24"/>
        </w:rPr>
      </w:pPr>
    </w:p>
    <w:p w14:paraId="43188B6F" w14:textId="17AF6FFF"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Strategic Lessons for SME Boards</w:t>
      </w:r>
    </w:p>
    <w:p w14:paraId="4068401C" w14:textId="77777777" w:rsidR="00E7666B" w:rsidRPr="006B571D" w:rsidRDefault="00E7666B" w:rsidP="006B571D">
      <w:pPr>
        <w:pStyle w:val="List1header"/>
        <w:numPr>
          <w:ilvl w:val="0"/>
          <w:numId w:val="0"/>
        </w:numPr>
        <w:spacing w:before="0"/>
        <w:rPr>
          <w:rFonts w:ascii="Times New Roman" w:hAnsi="Times New Roman" w:cs="Times New Roman"/>
          <w:sz w:val="24"/>
          <w:szCs w:val="24"/>
        </w:rPr>
      </w:pPr>
    </w:p>
    <w:p w14:paraId="1FAA0774"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Quality of growth: Revenue without margin is dangerous.</w:t>
      </w:r>
    </w:p>
    <w:p w14:paraId="58ECB6B8"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Cash focus: Liquidity and financial discipline are vital.</w:t>
      </w:r>
    </w:p>
    <w:p w14:paraId="0C2A98E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Fixed-cost control: Infrastructure must match profit capacity.</w:t>
      </w:r>
    </w:p>
    <w:p w14:paraId="593954AC"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Client diversification: Avoid over-reliance on a few customers.</w:t>
      </w:r>
    </w:p>
    <w:p w14:paraId="07723A82"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Prudent debt level: Repayment must be paid out of profits and surplus cashflow.</w:t>
      </w:r>
    </w:p>
    <w:p w14:paraId="443B2F8B" w14:textId="7A704E08"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Effective governance: Decisive leadership prevents crises.</w:t>
      </w:r>
    </w:p>
    <w:p w14:paraId="416E7D45" w14:textId="77777777" w:rsidR="00E7666B" w:rsidRPr="006B571D" w:rsidRDefault="00E7666B" w:rsidP="006B571D">
      <w:pPr>
        <w:pStyle w:val="Bullett1"/>
        <w:numPr>
          <w:ilvl w:val="0"/>
          <w:numId w:val="0"/>
        </w:numPr>
        <w:spacing w:before="0"/>
        <w:ind w:left="284"/>
        <w:rPr>
          <w:rFonts w:ascii="Times New Roman" w:hAnsi="Times New Roman" w:cs="Times New Roman"/>
          <w:sz w:val="24"/>
          <w:szCs w:val="24"/>
        </w:rPr>
      </w:pPr>
    </w:p>
    <w:p w14:paraId="2D9BC8AE" w14:textId="77777777" w:rsidR="00E7666B" w:rsidRPr="006B571D" w:rsidRDefault="00E7666B" w:rsidP="006B571D">
      <w:pPr>
        <w:pStyle w:val="List1header"/>
        <w:spacing w:before="0"/>
        <w:rPr>
          <w:rFonts w:ascii="Times New Roman" w:hAnsi="Times New Roman" w:cs="Times New Roman"/>
          <w:sz w:val="24"/>
          <w:szCs w:val="24"/>
        </w:rPr>
      </w:pPr>
      <w:r w:rsidRPr="006B571D">
        <w:rPr>
          <w:rFonts w:ascii="Times New Roman" w:hAnsi="Times New Roman" w:cs="Times New Roman"/>
          <w:sz w:val="24"/>
          <w:szCs w:val="24"/>
        </w:rPr>
        <w:t>Timeline and Resource Planning</w:t>
      </w:r>
    </w:p>
    <w:p w14:paraId="19496502" w14:textId="77777777" w:rsidR="00E7666B" w:rsidRPr="006B571D" w:rsidRDefault="00E7666B" w:rsidP="006B571D">
      <w:pPr>
        <w:spacing w:after="0"/>
        <w:rPr>
          <w:rFonts w:ascii="Times New Roman" w:hAnsi="Times New Roman"/>
          <w:sz w:val="24"/>
          <w:szCs w:val="24"/>
        </w:rPr>
      </w:pPr>
    </w:p>
    <w:p w14:paraId="4C6E853D" w14:textId="2FB4B300"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The process took roughly four months from initial HMRC contact to court sanction.</w:t>
      </w:r>
    </w:p>
    <w:p w14:paraId="4243E675" w14:textId="77777777" w:rsidR="00E7666B" w:rsidRPr="006B571D" w:rsidRDefault="00E7666B" w:rsidP="006B571D">
      <w:pPr>
        <w:spacing w:after="0"/>
        <w:rPr>
          <w:rFonts w:ascii="Times New Roman" w:hAnsi="Times New Roman"/>
          <w:sz w:val="24"/>
          <w:szCs w:val="24"/>
        </w:rPr>
      </w:pPr>
    </w:p>
    <w:p w14:paraId="46FA60AF"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Management must devote time to supporting advisers and engaging with creditors while also running the business and implementing turnaround initiatives. They will need help.</w:t>
      </w:r>
    </w:p>
    <w:p w14:paraId="0E5BE627"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A lead adviser is needed to coordinate turnaround initiatives;</w:t>
      </w:r>
    </w:p>
    <w:p w14:paraId="76993211"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Experienced advisers are needed to handle legal, valuation, and insolvency work.</w:t>
      </w:r>
    </w:p>
    <w:p w14:paraId="6E22B673" w14:textId="77777777" w:rsidR="00E7666B" w:rsidRPr="006B571D" w:rsidRDefault="00E7666B" w:rsidP="006B571D">
      <w:pPr>
        <w:pStyle w:val="Bullett1"/>
        <w:spacing w:before="0"/>
        <w:rPr>
          <w:rFonts w:ascii="Times New Roman" w:hAnsi="Times New Roman" w:cs="Times New Roman"/>
          <w:sz w:val="24"/>
          <w:szCs w:val="24"/>
        </w:rPr>
      </w:pPr>
      <w:r w:rsidRPr="006B571D">
        <w:rPr>
          <w:rFonts w:ascii="Times New Roman" w:hAnsi="Times New Roman" w:cs="Times New Roman"/>
          <w:sz w:val="24"/>
          <w:szCs w:val="24"/>
        </w:rPr>
        <w:t>Turnaround initiatives to be carried out concurrently - business continues during restructuring.</w:t>
      </w:r>
    </w:p>
    <w:p w14:paraId="3C28D67C" w14:textId="77777777" w:rsidR="00E7666B" w:rsidRPr="006B571D" w:rsidRDefault="00E7666B" w:rsidP="006B571D">
      <w:pPr>
        <w:pStyle w:val="Heading1"/>
        <w:spacing w:before="0" w:after="0"/>
        <w:rPr>
          <w:rFonts w:ascii="Times New Roman" w:hAnsi="Times New Roman" w:cs="Times New Roman"/>
          <w:b w:val="0"/>
          <w:bCs w:val="0"/>
          <w:i/>
          <w:iCs/>
          <w:sz w:val="24"/>
          <w:szCs w:val="24"/>
        </w:rPr>
      </w:pPr>
    </w:p>
    <w:p w14:paraId="44BE58C8" w14:textId="41ED0014" w:rsidR="00E7666B" w:rsidRPr="006B571D" w:rsidRDefault="00E7666B" w:rsidP="006B571D">
      <w:pPr>
        <w:pStyle w:val="Heading1"/>
        <w:spacing w:before="0" w:after="0"/>
        <w:rPr>
          <w:rFonts w:ascii="Times New Roman" w:hAnsi="Times New Roman" w:cs="Times New Roman"/>
          <w:b w:val="0"/>
          <w:bCs w:val="0"/>
          <w:i/>
          <w:iCs/>
          <w:sz w:val="24"/>
          <w:szCs w:val="24"/>
        </w:rPr>
      </w:pPr>
      <w:r w:rsidRPr="006B571D">
        <w:rPr>
          <w:rFonts w:ascii="Times New Roman" w:hAnsi="Times New Roman" w:cs="Times New Roman"/>
          <w:b w:val="0"/>
          <w:bCs w:val="0"/>
          <w:i/>
          <w:iCs/>
          <w:sz w:val="24"/>
          <w:szCs w:val="24"/>
        </w:rPr>
        <w:t>Conclusion</w:t>
      </w:r>
    </w:p>
    <w:p w14:paraId="28B477E7" w14:textId="77777777" w:rsidR="00E7666B" w:rsidRPr="006B571D" w:rsidRDefault="00E7666B" w:rsidP="006B571D">
      <w:pPr>
        <w:spacing w:after="0"/>
        <w:rPr>
          <w:rFonts w:ascii="Times New Roman" w:hAnsi="Times New Roman"/>
          <w:sz w:val="24"/>
          <w:szCs w:val="24"/>
        </w:rPr>
      </w:pPr>
    </w:p>
    <w:p w14:paraId="5560C600" w14:textId="05B91703"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The DSTBTD Limited case sets a precedent for SME restructuring under Part 26A. Through disciplined planning, early creditor engagement, operational turnaround, and cost control, the company secured overwhelming creditor support and court sanction without challenge.</w:t>
      </w:r>
    </w:p>
    <w:p w14:paraId="7C98C391" w14:textId="77777777"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The Plan produced materially better recoveries—HMRC received over seven times the liquidation estimate—and preserved the company as a going concern.</w:t>
      </w:r>
    </w:p>
    <w:p w14:paraId="0B937C27" w14:textId="77777777"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For viable SMEs weighed down by historic or preferential debt, especially to HMRC, a Part 26A Restructuring Plan now stands as a practical, affordable alternative to CVAs or insolvency. Success depends on transparency, credible turnaround leadership, and coordinated professional execution. With these elements in place, sophisticated restructuring tools once limited to large corporates can now deliver salvation for smaller enterprises.</w:t>
      </w:r>
    </w:p>
    <w:p w14:paraId="7DE9F8D3" w14:textId="77777777" w:rsidR="00E7666B" w:rsidRPr="006B571D" w:rsidRDefault="00E7666B" w:rsidP="006B571D">
      <w:pPr>
        <w:pStyle w:val="Heading1"/>
        <w:spacing w:before="0" w:after="0"/>
        <w:rPr>
          <w:rFonts w:ascii="Times New Roman" w:hAnsi="Times New Roman" w:cs="Times New Roman"/>
          <w:b w:val="0"/>
          <w:bCs w:val="0"/>
          <w:sz w:val="24"/>
          <w:szCs w:val="24"/>
        </w:rPr>
      </w:pPr>
    </w:p>
    <w:p w14:paraId="340E9BFE" w14:textId="7F137315" w:rsidR="00E7666B" w:rsidRPr="006B571D" w:rsidRDefault="00E7666B" w:rsidP="006B571D">
      <w:pPr>
        <w:pStyle w:val="Heading1"/>
        <w:spacing w:before="0" w:after="0"/>
        <w:rPr>
          <w:rFonts w:ascii="Times New Roman" w:hAnsi="Times New Roman" w:cs="Times New Roman"/>
          <w:sz w:val="24"/>
          <w:szCs w:val="24"/>
        </w:rPr>
      </w:pPr>
      <w:r w:rsidRPr="006B571D">
        <w:rPr>
          <w:rFonts w:ascii="Times New Roman" w:hAnsi="Times New Roman" w:cs="Times New Roman"/>
          <w:sz w:val="24"/>
          <w:szCs w:val="24"/>
        </w:rPr>
        <w:t>NB. A Note on K2 Business Partners</w:t>
      </w:r>
    </w:p>
    <w:p w14:paraId="42AC309C" w14:textId="77777777" w:rsidR="00E7666B" w:rsidRPr="006B571D" w:rsidRDefault="00E7666B" w:rsidP="006B571D">
      <w:pPr>
        <w:spacing w:after="0"/>
        <w:rPr>
          <w:rFonts w:ascii="Times New Roman" w:hAnsi="Times New Roman"/>
          <w:sz w:val="24"/>
          <w:szCs w:val="24"/>
        </w:rPr>
      </w:pPr>
    </w:p>
    <w:p w14:paraId="544D6C15" w14:textId="1F5962D8" w:rsidR="00E7666B" w:rsidRPr="006B571D" w:rsidRDefault="00E7666B" w:rsidP="006B571D">
      <w:pPr>
        <w:spacing w:after="0"/>
        <w:rPr>
          <w:rFonts w:ascii="Times New Roman" w:hAnsi="Times New Roman"/>
          <w:sz w:val="24"/>
          <w:szCs w:val="24"/>
        </w:rPr>
      </w:pPr>
      <w:r w:rsidRPr="006B571D">
        <w:rPr>
          <w:rFonts w:ascii="Times New Roman" w:hAnsi="Times New Roman"/>
          <w:sz w:val="24"/>
          <w:szCs w:val="24"/>
        </w:rPr>
        <w:t>K2 are hands-on directors and investors in SME turnaround opportunities that have huge growth potential. K2’s five Partners each have many years’ experience of transforming the prospects of companies by establishing a simple business model and implementing strategies to drive productivity and fund sustainable growth. This is achieved by K2 installing a strategy and culture based on people operating systems and processes that deliver profitability and secure the company’s future. K2 focuses on productivity and never running out of cash – they dislike debt, factoring and refinancing.</w:t>
      </w:r>
    </w:p>
    <w:p w14:paraId="652802DE" w14:textId="77777777" w:rsidR="00E7666B" w:rsidRPr="006B571D" w:rsidRDefault="00E7666B" w:rsidP="006B571D">
      <w:pPr>
        <w:spacing w:after="0"/>
        <w:rPr>
          <w:rFonts w:ascii="Times New Roman" w:hAnsi="Times New Roman"/>
          <w:sz w:val="24"/>
          <w:szCs w:val="24"/>
        </w:rPr>
      </w:pPr>
    </w:p>
    <w:p w14:paraId="0D973DB7" w14:textId="48C7931B" w:rsidR="00BB4D9D" w:rsidRPr="006B571D" w:rsidRDefault="00E7666B" w:rsidP="006B571D">
      <w:pPr>
        <w:spacing w:after="0"/>
        <w:rPr>
          <w:rFonts w:ascii="Times New Roman" w:hAnsi="Times New Roman"/>
          <w:sz w:val="24"/>
          <w:szCs w:val="24"/>
        </w:rPr>
      </w:pPr>
      <w:r w:rsidRPr="006B571D">
        <w:rPr>
          <w:rFonts w:ascii="Times New Roman" w:hAnsi="Times New Roman"/>
          <w:sz w:val="24"/>
          <w:szCs w:val="24"/>
        </w:rPr>
        <w:t>K2’s aim is to establish and grow great companies, that we never want to sell. Current investments include Aegirbio, a biotech firm that is developing saliva based diagnosis of infectious diseases; Metapraxis, an advisory and software provider that provides financial, planning &amp; analysis; Tokenbridge, a block chain platform for investing in funds; MPS Concrete Solutions a contractor that carries out structural and waterproof concrete repairs; Build Homes Better that manufactures building products; and several other service companies covering industrial manufacturing, IP &amp; technology, IT services, PR and marketing.</w:t>
      </w:r>
    </w:p>
    <w:sectPr w:rsidR="00BB4D9D" w:rsidRPr="006B571D"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C068" w14:textId="77777777" w:rsidR="00F604F8" w:rsidRDefault="00F604F8">
      <w:r>
        <w:separator/>
      </w:r>
    </w:p>
  </w:endnote>
  <w:endnote w:type="continuationSeparator" w:id="0">
    <w:p w14:paraId="475388D7" w14:textId="77777777" w:rsidR="00F604F8" w:rsidRDefault="00F6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0164E" w14:textId="77777777" w:rsidR="00F604F8" w:rsidRDefault="00F604F8">
      <w:r>
        <w:separator/>
      </w:r>
    </w:p>
  </w:footnote>
  <w:footnote w:type="continuationSeparator" w:id="0">
    <w:p w14:paraId="20FFBBD6" w14:textId="77777777" w:rsidR="00F604F8" w:rsidRDefault="00F6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7A8A3F81"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E7666B">
      <w:rPr>
        <w:rFonts w:ascii="Arial" w:hAnsi="Arial" w:cs="Arial"/>
        <w:b/>
        <w:sz w:val="20"/>
      </w:rPr>
      <w:t>November</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371D3095" w:rsidR="00BF3D3E" w:rsidRPr="0011226B" w:rsidRDefault="00E7666B" w:rsidP="00D90E9D">
    <w:pPr>
      <w:pStyle w:val="Header"/>
      <w:spacing w:after="0"/>
      <w:rPr>
        <w:rFonts w:ascii="Arial" w:hAnsi="Arial" w:cs="Arial"/>
        <w:b/>
        <w:sz w:val="20"/>
        <w:lang w:val="fr-FR"/>
      </w:rPr>
    </w:pPr>
    <w:r>
      <w:rPr>
        <w:rFonts w:ascii="Arial" w:hAnsi="Arial" w:cs="Arial"/>
        <w:b/>
        <w:sz w:val="20"/>
      </w:rPr>
      <w:t xml:space="preserve">Tony Groom </w:t>
    </w:r>
    <w:r w:rsidR="00640EFC" w:rsidRPr="0011226B">
      <w:rPr>
        <w:rFonts w:ascii="Arial" w:hAnsi="Arial" w:cs="Arial"/>
        <w:b/>
        <w:sz w:val="20"/>
        <w:lang w:val="fr-FR"/>
      </w:rPr>
      <w:t>(</w:t>
    </w:r>
    <w:r>
      <w:rPr>
        <w:rFonts w:ascii="Arial" w:hAnsi="Arial" w:cs="Arial"/>
        <w:b/>
        <w:sz w:val="20"/>
        <w:lang w:val="fr-FR"/>
      </w:rPr>
      <w:t>UK</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35BCD"/>
    <w:multiLevelType w:val="hybridMultilevel"/>
    <w:tmpl w:val="7154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E06B0D"/>
    <w:multiLevelType w:val="hybridMultilevel"/>
    <w:tmpl w:val="5E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405951A3"/>
    <w:multiLevelType w:val="hybridMultilevel"/>
    <w:tmpl w:val="2D36E930"/>
    <w:lvl w:ilvl="0" w:tplc="997EF3BE">
      <w:start w:val="1"/>
      <w:numFmt w:val="bullet"/>
      <w:pStyle w:val="Bullett1"/>
      <w:lvlText w:val=""/>
      <w:lvlJc w:val="left"/>
      <w:pPr>
        <w:ind w:left="720" w:hanging="360"/>
      </w:pPr>
      <w:rPr>
        <w:rFonts w:ascii="Wingdings" w:hAnsi="Wingdings" w:cs="Wingdings" w:hint="default"/>
      </w:rPr>
    </w:lvl>
    <w:lvl w:ilvl="1" w:tplc="D1A2D2C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0358E"/>
    <w:multiLevelType w:val="multilevel"/>
    <w:tmpl w:val="47725470"/>
    <w:lvl w:ilvl="0">
      <w:start w:val="1"/>
      <w:numFmt w:val="decimal"/>
      <w:pStyle w:val="List1header"/>
      <w:lvlText w:val="%1."/>
      <w:lvlJc w:val="left"/>
      <w:pPr>
        <w:ind w:left="360" w:hanging="360"/>
      </w:pPr>
      <w:rPr>
        <w:rFonts w:ascii="Calibri" w:hAnsi="Calibri" w:hint="default"/>
        <w:b/>
        <w: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15:restartNumberingAfterBreak="0">
    <w:nsid w:val="50F177E3"/>
    <w:multiLevelType w:val="hybridMultilevel"/>
    <w:tmpl w:val="0286451A"/>
    <w:lvl w:ilvl="0" w:tplc="4B9609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6F5BF2"/>
    <w:multiLevelType w:val="hybridMultilevel"/>
    <w:tmpl w:val="F0A2F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3"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6E61EE3"/>
    <w:multiLevelType w:val="hybridMultilevel"/>
    <w:tmpl w:val="4BC42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7549746">
    <w:abstractNumId w:val="9"/>
  </w:num>
  <w:num w:numId="2" w16cid:durableId="928123542">
    <w:abstractNumId w:val="3"/>
  </w:num>
  <w:num w:numId="3" w16cid:durableId="1027414092">
    <w:abstractNumId w:val="14"/>
  </w:num>
  <w:num w:numId="4" w16cid:durableId="432820194">
    <w:abstractNumId w:val="5"/>
  </w:num>
  <w:num w:numId="5" w16cid:durableId="2022931323">
    <w:abstractNumId w:val="4"/>
  </w:num>
  <w:num w:numId="6" w16cid:durableId="1177889616">
    <w:abstractNumId w:val="12"/>
  </w:num>
  <w:num w:numId="7" w16cid:durableId="368843553">
    <w:abstractNumId w:val="13"/>
  </w:num>
  <w:num w:numId="8" w16cid:durableId="831795952">
    <w:abstractNumId w:val="7"/>
  </w:num>
  <w:num w:numId="9" w16cid:durableId="1320841345">
    <w:abstractNumId w:val="0"/>
  </w:num>
  <w:num w:numId="10" w16cid:durableId="63339790">
    <w:abstractNumId w:val="1"/>
  </w:num>
  <w:num w:numId="11" w16cid:durableId="819619913">
    <w:abstractNumId w:val="15"/>
  </w:num>
  <w:num w:numId="12" w16cid:durableId="1094595323">
    <w:abstractNumId w:val="11"/>
  </w:num>
  <w:num w:numId="13" w16cid:durableId="1660117588">
    <w:abstractNumId w:val="2"/>
  </w:num>
  <w:num w:numId="14" w16cid:durableId="1478379760">
    <w:abstractNumId w:val="10"/>
  </w:num>
  <w:num w:numId="15" w16cid:durableId="1040278062">
    <w:abstractNumId w:val="6"/>
  </w:num>
  <w:num w:numId="16" w16cid:durableId="63722968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0F377D"/>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760BA"/>
    <w:rsid w:val="00484F6D"/>
    <w:rsid w:val="00492065"/>
    <w:rsid w:val="004B3FED"/>
    <w:rsid w:val="004D1D7E"/>
    <w:rsid w:val="004F1265"/>
    <w:rsid w:val="004F57B8"/>
    <w:rsid w:val="00535342"/>
    <w:rsid w:val="00540D53"/>
    <w:rsid w:val="005505F4"/>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571D"/>
    <w:rsid w:val="006B7ABD"/>
    <w:rsid w:val="006D0A86"/>
    <w:rsid w:val="006D39FA"/>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3C5F"/>
    <w:rsid w:val="00994086"/>
    <w:rsid w:val="009B447C"/>
    <w:rsid w:val="009B5E68"/>
    <w:rsid w:val="009D62BA"/>
    <w:rsid w:val="009E51C4"/>
    <w:rsid w:val="009F52F0"/>
    <w:rsid w:val="00A07FE0"/>
    <w:rsid w:val="00A21078"/>
    <w:rsid w:val="00A34959"/>
    <w:rsid w:val="00A3654A"/>
    <w:rsid w:val="00A36F76"/>
    <w:rsid w:val="00A6534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B4D9D"/>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07D3"/>
    <w:rsid w:val="00D03DC1"/>
    <w:rsid w:val="00D05F7C"/>
    <w:rsid w:val="00D10A38"/>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0BF2"/>
    <w:rsid w:val="00E64EE0"/>
    <w:rsid w:val="00E71E7B"/>
    <w:rsid w:val="00E7666B"/>
    <w:rsid w:val="00EA5386"/>
    <w:rsid w:val="00EA585B"/>
    <w:rsid w:val="00EB6116"/>
    <w:rsid w:val="00EF5D02"/>
    <w:rsid w:val="00EF6269"/>
    <w:rsid w:val="00F07427"/>
    <w:rsid w:val="00F20AC6"/>
    <w:rsid w:val="00F36532"/>
    <w:rsid w:val="00F419E1"/>
    <w:rsid w:val="00F55F2D"/>
    <w:rsid w:val="00F604F8"/>
    <w:rsid w:val="00F723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 w:type="paragraph" w:customStyle="1" w:styleId="Bullett1">
    <w:name w:val="Bullett 1"/>
    <w:basedOn w:val="ListParagraph"/>
    <w:link w:val="Bullett1Char"/>
    <w:autoRedefine/>
    <w:qFormat/>
    <w:rsid w:val="00E7666B"/>
    <w:pPr>
      <w:numPr>
        <w:numId w:val="15"/>
      </w:numPr>
      <w:tabs>
        <w:tab w:val="left" w:pos="3402"/>
        <w:tab w:val="left" w:pos="5103"/>
        <w:tab w:val="left" w:pos="7371"/>
      </w:tabs>
      <w:spacing w:before="120" w:after="0" w:line="240" w:lineRule="auto"/>
      <w:ind w:left="709" w:hanging="425"/>
      <w:contextualSpacing w:val="0"/>
      <w:jc w:val="both"/>
    </w:pPr>
    <w:rPr>
      <w:rFonts w:ascii="Calibri" w:eastAsia="Times New Roman" w:hAnsi="Calibri" w:cs="Calibri"/>
      <w:lang w:val="en-US"/>
    </w:rPr>
  </w:style>
  <w:style w:type="character" w:customStyle="1" w:styleId="Bullett1Char">
    <w:name w:val="Bullett 1 Char"/>
    <w:basedOn w:val="DefaultParagraphFont"/>
    <w:link w:val="Bullett1"/>
    <w:rsid w:val="00E7666B"/>
    <w:rPr>
      <w:rFonts w:ascii="Calibri" w:hAnsi="Calibri" w:cs="Calibri"/>
      <w:sz w:val="22"/>
      <w:szCs w:val="22"/>
      <w:lang w:val="en-US" w:eastAsia="en-US"/>
    </w:rPr>
  </w:style>
  <w:style w:type="paragraph" w:customStyle="1" w:styleId="Bullet1header">
    <w:name w:val="Bullet 1 header"/>
    <w:basedOn w:val="Bullett1"/>
    <w:autoRedefine/>
    <w:qFormat/>
    <w:rsid w:val="00E7666B"/>
    <w:rPr>
      <w:b/>
      <w:bCs/>
      <w:i/>
      <w:iCs/>
    </w:rPr>
  </w:style>
  <w:style w:type="paragraph" w:customStyle="1" w:styleId="List1header">
    <w:name w:val="List 1 header"/>
    <w:basedOn w:val="Normal"/>
    <w:autoRedefine/>
    <w:qFormat/>
    <w:rsid w:val="00E7666B"/>
    <w:pPr>
      <w:numPr>
        <w:numId w:val="16"/>
      </w:numPr>
      <w:tabs>
        <w:tab w:val="left" w:pos="3402"/>
        <w:tab w:val="left" w:pos="5103"/>
        <w:tab w:val="left" w:pos="7371"/>
      </w:tabs>
      <w:spacing w:before="120" w:after="0"/>
      <w:ind w:left="426" w:hanging="426"/>
    </w:pPr>
    <w:rPr>
      <w:rFonts w:cs="Calibri"/>
      <w:b/>
      <w:bCs/>
      <w:i/>
      <w:iCs/>
      <w:sz w:val="22"/>
      <w:szCs w:val="22"/>
      <w:lang w:val="en-US" w:eastAsia="en-US"/>
    </w:rPr>
  </w:style>
  <w:style w:type="paragraph" w:customStyle="1" w:styleId="Bullet1heading">
    <w:name w:val="Bullet 1 heading"/>
    <w:basedOn w:val="Bullett1"/>
    <w:autoRedefine/>
    <w:qFormat/>
    <w:rsid w:val="00E76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1991</Words>
  <Characters>11351</Characters>
  <Application>Microsoft Office Word</Application>
  <DocSecurity>0</DocSecurity>
  <PresentationFormat/>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9</cp:revision>
  <cp:lastPrinted>2017-11-20T20:14:00Z</cp:lastPrinted>
  <dcterms:created xsi:type="dcterms:W3CDTF">2025-02-14T13:54:00Z</dcterms:created>
  <dcterms:modified xsi:type="dcterms:W3CDTF">2025-11-17T15:49:00Z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