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13A8" w14:textId="77777777" w:rsidR="002A672B" w:rsidRPr="002A672B" w:rsidRDefault="002A672B" w:rsidP="00A3355D">
      <w:pPr>
        <w:tabs>
          <w:tab w:val="left" w:pos="474"/>
        </w:tabs>
        <w:spacing w:after="0" w:line="240" w:lineRule="auto"/>
        <w:contextualSpacing/>
        <w:rPr>
          <w:rFonts w:ascii="Times New Roman" w:hAnsi="Times New Roman"/>
          <w:sz w:val="24"/>
          <w:szCs w:val="24"/>
          <w:lang w:val="en-GB"/>
        </w:rPr>
      </w:pPr>
    </w:p>
    <w:p w14:paraId="702207DE" w14:textId="77777777" w:rsidR="002A672B" w:rsidRPr="002A672B" w:rsidRDefault="002A672B" w:rsidP="00A3355D">
      <w:pPr>
        <w:spacing w:after="0" w:line="240" w:lineRule="auto"/>
        <w:contextualSpacing/>
        <w:jc w:val="center"/>
        <w:rPr>
          <w:rFonts w:ascii="Times New Roman" w:hAnsi="Times New Roman"/>
          <w:b/>
          <w:sz w:val="24"/>
          <w:szCs w:val="24"/>
          <w:lang w:val="en-GB"/>
        </w:rPr>
      </w:pPr>
      <w:r w:rsidRPr="002A672B">
        <w:rPr>
          <w:rFonts w:ascii="Times New Roman" w:hAnsi="Times New Roman"/>
          <w:b/>
          <w:noProof/>
          <w:sz w:val="24"/>
          <w:szCs w:val="24"/>
          <w:lang w:val="en-GB"/>
        </w:rPr>
        <w:drawing>
          <wp:inline distT="0" distB="0" distL="0" distR="0" wp14:anchorId="324628EC" wp14:editId="489CC1AC">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7">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6494C8CE" w14:textId="77777777" w:rsidR="002A672B" w:rsidRPr="002A672B" w:rsidRDefault="002A672B" w:rsidP="00A3355D">
      <w:pPr>
        <w:spacing w:after="0" w:line="240" w:lineRule="auto"/>
        <w:contextualSpacing/>
        <w:jc w:val="center"/>
        <w:rPr>
          <w:rFonts w:ascii="Times New Roman" w:hAnsi="Times New Roman"/>
          <w:b/>
          <w:sz w:val="24"/>
          <w:szCs w:val="24"/>
          <w:lang w:val="en-GB"/>
        </w:rPr>
      </w:pPr>
    </w:p>
    <w:p w14:paraId="3AE87C19" w14:textId="34B45A96" w:rsidR="002A672B" w:rsidRPr="002A672B" w:rsidRDefault="002A672B" w:rsidP="00A3355D">
      <w:pPr>
        <w:spacing w:after="0" w:line="240" w:lineRule="auto"/>
        <w:contextualSpacing/>
        <w:jc w:val="center"/>
        <w:rPr>
          <w:rFonts w:ascii="Times New Roman" w:hAnsi="Times New Roman"/>
          <w:b/>
          <w:sz w:val="36"/>
          <w:szCs w:val="36"/>
          <w:lang w:val="en-GB"/>
        </w:rPr>
      </w:pPr>
      <w:r w:rsidRPr="002A672B">
        <w:rPr>
          <w:rFonts w:ascii="Times New Roman" w:hAnsi="Times New Roman"/>
          <w:b/>
          <w:sz w:val="36"/>
          <w:szCs w:val="36"/>
          <w:lang w:val="en-GB"/>
        </w:rPr>
        <w:t xml:space="preserve">Inside Story – </w:t>
      </w:r>
      <w:r w:rsidRPr="00CA4BC8">
        <w:rPr>
          <w:rFonts w:ascii="Times New Roman" w:hAnsi="Times New Roman"/>
          <w:b/>
          <w:sz w:val="36"/>
          <w:szCs w:val="36"/>
          <w:lang w:val="en-GB"/>
        </w:rPr>
        <w:t>January</w:t>
      </w:r>
      <w:r w:rsidRPr="002A672B">
        <w:rPr>
          <w:rFonts w:ascii="Times New Roman" w:hAnsi="Times New Roman"/>
          <w:b/>
          <w:sz w:val="36"/>
          <w:szCs w:val="36"/>
          <w:lang w:val="en-GB"/>
        </w:rPr>
        <w:t xml:space="preserve"> 2026</w:t>
      </w:r>
    </w:p>
    <w:p w14:paraId="03EDAF31" w14:textId="77777777" w:rsidR="002A672B" w:rsidRPr="002A672B" w:rsidRDefault="002A672B" w:rsidP="00A3355D">
      <w:pPr>
        <w:spacing w:after="0" w:line="240" w:lineRule="auto"/>
        <w:contextualSpacing/>
        <w:jc w:val="center"/>
        <w:rPr>
          <w:rFonts w:ascii="Times New Roman" w:hAnsi="Times New Roman"/>
          <w:b/>
          <w:sz w:val="24"/>
          <w:szCs w:val="24"/>
          <w:lang w:val="en-GB"/>
        </w:rPr>
      </w:pPr>
    </w:p>
    <w:p w14:paraId="66818384" w14:textId="77777777" w:rsidR="00CA4BC8" w:rsidRDefault="002A672B" w:rsidP="00A3355D">
      <w:pPr>
        <w:spacing w:after="0" w:line="240" w:lineRule="auto"/>
        <w:jc w:val="center"/>
        <w:rPr>
          <w:rFonts w:ascii="Times New Roman" w:hAnsi="Times New Roman"/>
          <w:b/>
          <w:bCs/>
          <w:sz w:val="28"/>
          <w:szCs w:val="28"/>
          <w:lang w:val="en-GB"/>
        </w:rPr>
      </w:pPr>
      <w:r>
        <w:rPr>
          <w:rFonts w:ascii="Times New Roman" w:hAnsi="Times New Roman"/>
          <w:b/>
          <w:bCs/>
          <w:sz w:val="28"/>
          <w:szCs w:val="28"/>
          <w:lang w:val="en-GB"/>
        </w:rPr>
        <w:t>T</w:t>
      </w:r>
      <w:r w:rsidRPr="002A672B">
        <w:rPr>
          <w:rFonts w:ascii="Times New Roman" w:hAnsi="Times New Roman"/>
          <w:b/>
          <w:bCs/>
          <w:sz w:val="28"/>
          <w:szCs w:val="28"/>
          <w:lang w:val="en-GB"/>
        </w:rPr>
        <w:t xml:space="preserve">he </w:t>
      </w:r>
      <w:r>
        <w:rPr>
          <w:rFonts w:ascii="Times New Roman" w:hAnsi="Times New Roman"/>
          <w:b/>
          <w:bCs/>
          <w:sz w:val="28"/>
          <w:szCs w:val="28"/>
          <w:lang w:val="en-GB"/>
        </w:rPr>
        <w:t>‘</w:t>
      </w:r>
      <w:r w:rsidRPr="002A672B">
        <w:rPr>
          <w:rFonts w:ascii="Times New Roman" w:hAnsi="Times New Roman"/>
          <w:b/>
          <w:bCs/>
          <w:sz w:val="28"/>
          <w:szCs w:val="28"/>
          <w:lang w:val="en-GB"/>
        </w:rPr>
        <w:t>Common Social Interest</w:t>
      </w:r>
      <w:r>
        <w:rPr>
          <w:rFonts w:ascii="Times New Roman" w:hAnsi="Times New Roman"/>
          <w:b/>
          <w:bCs/>
          <w:sz w:val="28"/>
          <w:szCs w:val="28"/>
          <w:lang w:val="en-GB"/>
        </w:rPr>
        <w:t>’ under Directive (EU) 2019/2013:</w:t>
      </w:r>
    </w:p>
    <w:p w14:paraId="202F63B5" w14:textId="4687E5A3" w:rsidR="002A672B" w:rsidRPr="002A672B" w:rsidRDefault="002A672B" w:rsidP="00A3355D">
      <w:pPr>
        <w:spacing w:after="0" w:line="240" w:lineRule="auto"/>
        <w:jc w:val="center"/>
        <w:rPr>
          <w:rFonts w:ascii="Times New Roman" w:hAnsi="Times New Roman"/>
          <w:b/>
          <w:bCs/>
          <w:sz w:val="28"/>
          <w:szCs w:val="28"/>
          <w:lang w:val="en-GB"/>
        </w:rPr>
      </w:pPr>
      <w:r w:rsidRPr="002A672B">
        <w:rPr>
          <w:rFonts w:ascii="Times New Roman" w:hAnsi="Times New Roman"/>
          <w:b/>
          <w:bCs/>
          <w:sz w:val="28"/>
          <w:szCs w:val="28"/>
          <w:lang w:val="en-GB"/>
        </w:rPr>
        <w:t xml:space="preserve">Why Directors </w:t>
      </w:r>
      <w:r>
        <w:rPr>
          <w:rFonts w:ascii="Times New Roman" w:hAnsi="Times New Roman"/>
          <w:b/>
          <w:bCs/>
          <w:sz w:val="28"/>
          <w:szCs w:val="28"/>
          <w:lang w:val="en-GB"/>
        </w:rPr>
        <w:t>have to</w:t>
      </w:r>
      <w:r w:rsidRPr="002A672B">
        <w:rPr>
          <w:rFonts w:ascii="Times New Roman" w:hAnsi="Times New Roman"/>
          <w:b/>
          <w:bCs/>
          <w:sz w:val="28"/>
          <w:szCs w:val="28"/>
          <w:lang w:val="en-GB"/>
        </w:rPr>
        <w:t xml:space="preserve"> Promote Negotiations</w:t>
      </w:r>
      <w:r>
        <w:rPr>
          <w:rFonts w:ascii="Times New Roman" w:hAnsi="Times New Roman"/>
          <w:b/>
          <w:bCs/>
          <w:sz w:val="28"/>
          <w:szCs w:val="28"/>
          <w:lang w:val="en-GB"/>
        </w:rPr>
        <w:t>?</w:t>
      </w:r>
    </w:p>
    <w:p w14:paraId="09EFF132" w14:textId="77777777" w:rsidR="002A672B" w:rsidRPr="002A672B" w:rsidRDefault="002A672B" w:rsidP="00A3355D">
      <w:pPr>
        <w:spacing w:after="0" w:line="240" w:lineRule="auto"/>
        <w:contextualSpacing/>
        <w:jc w:val="center"/>
        <w:rPr>
          <w:rFonts w:ascii="Times New Roman" w:hAnsi="Times New Roman"/>
          <w:sz w:val="24"/>
          <w:szCs w:val="24"/>
          <w:lang w:val="en-GB"/>
        </w:rPr>
      </w:pPr>
    </w:p>
    <w:p w14:paraId="0F43B373" w14:textId="392F7265" w:rsidR="002A672B" w:rsidRPr="002A672B" w:rsidRDefault="002A672B" w:rsidP="00A3355D">
      <w:pPr>
        <w:spacing w:after="0" w:line="240" w:lineRule="auto"/>
        <w:jc w:val="both"/>
        <w:rPr>
          <w:rFonts w:ascii="Times New Roman" w:hAnsi="Times New Roman" w:cs="Times New Roman"/>
          <w:i/>
          <w:iCs/>
          <w:kern w:val="0"/>
          <w:sz w:val="24"/>
          <w:szCs w:val="24"/>
          <w:lang w:val="en-GB" w:bidi="ar-SA"/>
          <w14:ligatures w14:val="none"/>
        </w:rPr>
      </w:pPr>
      <w:r w:rsidRPr="002A672B">
        <w:rPr>
          <w:rFonts w:ascii="Times New Roman" w:hAnsi="Times New Roman" w:cs="Times New Roman"/>
          <w:i/>
          <w:iCs/>
          <w:kern w:val="0"/>
          <w:lang w:val="en-GB" w:bidi="ar-SA"/>
          <w14:ligatures w14:val="none"/>
        </w:rPr>
        <w:t xml:space="preserve">José Gonçalves Machado, </w:t>
      </w:r>
      <w:r>
        <w:rPr>
          <w:rFonts w:ascii="Times New Roman" w:hAnsi="Times New Roman" w:cs="Times New Roman"/>
          <w:i/>
          <w:iCs/>
          <w:kern w:val="0"/>
          <w:lang w:val="en-GB" w:bidi="ar-SA"/>
          <w14:ligatures w14:val="none"/>
        </w:rPr>
        <w:t xml:space="preserve">Professor, Lusófona University (Lisbon); </w:t>
      </w:r>
      <w:r w:rsidRPr="002A672B">
        <w:rPr>
          <w:rFonts w:ascii="Times New Roman" w:hAnsi="Times New Roman" w:cs="Times New Roman"/>
          <w:i/>
          <w:iCs/>
          <w:kern w:val="0"/>
          <w:lang w:bidi="ar-SA"/>
          <w14:ligatures w14:val="none"/>
        </w:rPr>
        <w:t xml:space="preserve">Researcher, CEAD – </w:t>
      </w:r>
      <w:r w:rsidRPr="002A672B">
        <w:rPr>
          <w:rFonts w:ascii="Times New Roman" w:hAnsi="Times New Roman" w:cs="Times New Roman"/>
          <w:i/>
          <w:iCs/>
          <w:kern w:val="0"/>
          <w:sz w:val="24"/>
          <w:szCs w:val="24"/>
          <w:lang w:bidi="ar-SA"/>
          <w14:ligatures w14:val="none"/>
        </w:rPr>
        <w:t xml:space="preserve">Francisco Suárez; </w:t>
      </w:r>
      <w:r w:rsidRPr="002A672B">
        <w:rPr>
          <w:rFonts w:ascii="Times New Roman" w:hAnsi="Times New Roman" w:cs="Times New Roman"/>
          <w:i/>
          <w:iCs/>
          <w:kern w:val="0"/>
          <w:sz w:val="24"/>
          <w:szCs w:val="24"/>
          <w:lang w:val="en-GB" w:bidi="ar-SA"/>
          <w14:ligatures w14:val="none"/>
        </w:rPr>
        <w:t>Of Counsel, RSA – LP. Email: &lt;josemachado@rsa-lp.com&gt;.</w:t>
      </w:r>
    </w:p>
    <w:p w14:paraId="78E61203" w14:textId="77777777" w:rsidR="002A672B" w:rsidRPr="002A672B" w:rsidRDefault="002A672B" w:rsidP="00A3355D">
      <w:pPr>
        <w:tabs>
          <w:tab w:val="left" w:pos="474"/>
        </w:tabs>
        <w:spacing w:after="0" w:line="240" w:lineRule="auto"/>
        <w:jc w:val="both"/>
        <w:rPr>
          <w:rFonts w:asciiTheme="majorBidi" w:eastAsia="Times New Roman" w:hAnsiTheme="majorBidi" w:cstheme="majorBidi"/>
          <w:kern w:val="0"/>
          <w:sz w:val="24"/>
          <w:szCs w:val="24"/>
          <w:lang w:val="en-GB" w:eastAsia="en-GB" w:bidi="ar-SA"/>
          <w14:ligatures w14:val="none"/>
        </w:rPr>
      </w:pPr>
    </w:p>
    <w:p w14:paraId="3E3DB19E" w14:textId="1CCA446A" w:rsidR="002A672B" w:rsidRPr="002A672B" w:rsidRDefault="002A672B" w:rsidP="00A3355D">
      <w:pPr>
        <w:spacing w:after="0" w:line="240" w:lineRule="auto"/>
        <w:jc w:val="both"/>
        <w:rPr>
          <w:rFonts w:asciiTheme="majorBidi" w:hAnsiTheme="majorBidi" w:cstheme="majorBidi"/>
          <w:i/>
          <w:iCs/>
          <w:sz w:val="24"/>
          <w:szCs w:val="24"/>
          <w:lang w:val="en-GB"/>
        </w:rPr>
      </w:pPr>
      <w:r w:rsidRPr="002A672B">
        <w:rPr>
          <w:rFonts w:asciiTheme="majorBidi" w:hAnsiTheme="majorBidi" w:cstheme="majorBidi"/>
          <w:i/>
          <w:iCs/>
          <w:sz w:val="24"/>
          <w:szCs w:val="24"/>
          <w:lang w:val="en-GB"/>
        </w:rPr>
        <w:t>Introduction</w:t>
      </w:r>
    </w:p>
    <w:p w14:paraId="5FAA43B7" w14:textId="77777777" w:rsidR="00300EF6" w:rsidRDefault="00300EF6" w:rsidP="00A3355D">
      <w:pPr>
        <w:spacing w:after="0" w:line="240" w:lineRule="auto"/>
        <w:jc w:val="both"/>
        <w:rPr>
          <w:rFonts w:asciiTheme="majorBidi" w:hAnsiTheme="majorBidi" w:cstheme="majorBidi"/>
          <w:sz w:val="24"/>
          <w:szCs w:val="24"/>
          <w:lang w:val="en-GB"/>
        </w:rPr>
      </w:pPr>
    </w:p>
    <w:p w14:paraId="5FD3BE95" w14:textId="16AF5706" w:rsidR="002A672B" w:rsidRPr="002A672B" w:rsidRDefault="002A672B" w:rsidP="00A3355D">
      <w:pPr>
        <w:spacing w:after="0" w:line="240" w:lineRule="auto"/>
        <w:jc w:val="both"/>
        <w:rPr>
          <w:rFonts w:asciiTheme="majorBidi" w:hAnsiTheme="majorBidi" w:cstheme="majorBidi"/>
          <w:sz w:val="24"/>
          <w:szCs w:val="24"/>
          <w:lang w:val="en-GB"/>
        </w:rPr>
      </w:pPr>
      <w:r w:rsidRPr="002A672B">
        <w:rPr>
          <w:rFonts w:asciiTheme="majorBidi" w:hAnsiTheme="majorBidi" w:cstheme="majorBidi"/>
          <w:sz w:val="24"/>
          <w:szCs w:val="24"/>
          <w:lang w:val="en-GB"/>
        </w:rPr>
        <w:t xml:space="preserve">Preventive restructuring frameworks introduced by Directive (EU) 2019/1023 reflect a decisive shift in European insolvency policy. Rather than concentrating on </w:t>
      </w:r>
      <w:r w:rsidRPr="00CA4BC8">
        <w:rPr>
          <w:rFonts w:asciiTheme="majorBidi" w:hAnsiTheme="majorBidi" w:cstheme="majorBidi"/>
          <w:i/>
          <w:iCs/>
          <w:sz w:val="24"/>
          <w:szCs w:val="24"/>
          <w:lang w:val="en-GB"/>
        </w:rPr>
        <w:t xml:space="preserve">ex post </w:t>
      </w:r>
      <w:r w:rsidRPr="002A672B">
        <w:rPr>
          <w:rFonts w:asciiTheme="majorBidi" w:hAnsiTheme="majorBidi" w:cstheme="majorBidi"/>
          <w:sz w:val="24"/>
          <w:szCs w:val="24"/>
          <w:lang w:val="en-GB"/>
        </w:rPr>
        <w:t>liquidation and loss allocation, the Directive prioritises early intervention, negotiated solutions and the preservation of viable businesses. This change inevitably places corporate directors at the centre of the pre-insolvency landscape.</w:t>
      </w:r>
    </w:p>
    <w:p w14:paraId="41F910CE" w14:textId="77777777" w:rsidR="00300EF6" w:rsidRDefault="00300EF6" w:rsidP="00A3355D">
      <w:pPr>
        <w:spacing w:after="0" w:line="240" w:lineRule="auto"/>
        <w:jc w:val="both"/>
        <w:rPr>
          <w:rFonts w:asciiTheme="majorBidi" w:hAnsiTheme="majorBidi" w:cstheme="majorBidi"/>
          <w:sz w:val="24"/>
          <w:szCs w:val="24"/>
          <w:lang w:val="en-GB"/>
        </w:rPr>
      </w:pPr>
    </w:p>
    <w:p w14:paraId="59433F35" w14:textId="119F4EF9" w:rsidR="002A672B" w:rsidRDefault="002A672B" w:rsidP="00A3355D">
      <w:pPr>
        <w:spacing w:after="0" w:line="240" w:lineRule="auto"/>
        <w:jc w:val="both"/>
        <w:rPr>
          <w:rFonts w:asciiTheme="majorBidi" w:hAnsiTheme="majorBidi" w:cstheme="majorBidi"/>
          <w:sz w:val="24"/>
          <w:szCs w:val="24"/>
          <w:lang w:val="en-GB"/>
        </w:rPr>
      </w:pPr>
      <w:r w:rsidRPr="002A672B">
        <w:rPr>
          <w:rFonts w:asciiTheme="majorBidi" w:hAnsiTheme="majorBidi" w:cstheme="majorBidi"/>
          <w:sz w:val="24"/>
          <w:szCs w:val="24"/>
          <w:lang w:val="en-GB"/>
        </w:rPr>
        <w:t>While the Directive does not seek to harmonise national regimes of directors’ liability, it does establish, in Article 19, a set of minimum behavioural standards applicable once a likelihood of insolvency arises. These standards raise a fundamental question: do directors merely have to refrain from harmful conduct, or are they also expected to actively promote negotiations aimed at recovery within preventive restructuring frameworks?</w:t>
      </w:r>
    </w:p>
    <w:p w14:paraId="27A56F24" w14:textId="77777777" w:rsidR="00CA4BC8" w:rsidRPr="002A672B" w:rsidRDefault="00CA4BC8" w:rsidP="00A3355D">
      <w:pPr>
        <w:spacing w:after="0" w:line="240" w:lineRule="auto"/>
        <w:jc w:val="both"/>
        <w:rPr>
          <w:rFonts w:asciiTheme="majorBidi" w:hAnsiTheme="majorBidi" w:cstheme="majorBidi"/>
          <w:sz w:val="24"/>
          <w:szCs w:val="24"/>
          <w:lang w:val="en-GB"/>
        </w:rPr>
      </w:pPr>
    </w:p>
    <w:p w14:paraId="03DCAF5F" w14:textId="77777777" w:rsidR="002A672B" w:rsidRPr="002A672B" w:rsidRDefault="002A672B" w:rsidP="00A3355D">
      <w:pPr>
        <w:spacing w:after="0" w:line="240" w:lineRule="auto"/>
        <w:jc w:val="both"/>
        <w:rPr>
          <w:rFonts w:asciiTheme="majorBidi" w:hAnsiTheme="majorBidi" w:cstheme="majorBidi"/>
          <w:sz w:val="24"/>
          <w:szCs w:val="24"/>
          <w:lang w:val="en-GB"/>
        </w:rPr>
      </w:pPr>
      <w:r w:rsidRPr="002A672B">
        <w:rPr>
          <w:rFonts w:asciiTheme="majorBidi" w:hAnsiTheme="majorBidi" w:cstheme="majorBidi"/>
          <w:sz w:val="24"/>
          <w:szCs w:val="24"/>
          <w:lang w:val="en-GB"/>
        </w:rPr>
        <w:t xml:space="preserve">This article argues that Article 19 supports the latter view. More specifically, it contends that the duty to promote negotiations in the pre-insolvency phase is best explained not by a simple reorientation of fiduciary duties towards creditors, but by the emergence of a </w:t>
      </w:r>
      <w:r w:rsidRPr="002A672B">
        <w:rPr>
          <w:rFonts w:asciiTheme="majorBidi" w:hAnsiTheme="majorBidi" w:cstheme="majorBidi"/>
          <w:b/>
          <w:bCs/>
          <w:sz w:val="24"/>
          <w:szCs w:val="24"/>
          <w:lang w:val="en-GB"/>
        </w:rPr>
        <w:t>common social interest</w:t>
      </w:r>
      <w:r w:rsidRPr="002A672B">
        <w:rPr>
          <w:rFonts w:asciiTheme="majorBidi" w:hAnsiTheme="majorBidi" w:cstheme="majorBidi"/>
          <w:sz w:val="24"/>
          <w:szCs w:val="24"/>
          <w:lang w:val="en-GB"/>
        </w:rPr>
        <w:t xml:space="preserve"> shared by all stakeholders exposed to the debtor’s financial distress.</w:t>
      </w:r>
    </w:p>
    <w:p w14:paraId="44407E31" w14:textId="57477404" w:rsidR="002A672B" w:rsidRPr="002A672B" w:rsidRDefault="002A672B" w:rsidP="00A3355D">
      <w:pPr>
        <w:spacing w:after="0" w:line="240" w:lineRule="auto"/>
        <w:jc w:val="both"/>
        <w:rPr>
          <w:rFonts w:asciiTheme="majorBidi" w:hAnsiTheme="majorBidi" w:cstheme="majorBidi"/>
          <w:sz w:val="24"/>
          <w:szCs w:val="24"/>
          <w:lang w:val="en-GB"/>
        </w:rPr>
      </w:pPr>
    </w:p>
    <w:p w14:paraId="7935FDDB" w14:textId="37149CBB" w:rsidR="002A672B" w:rsidRPr="002A672B" w:rsidRDefault="002A672B" w:rsidP="00A3355D">
      <w:pPr>
        <w:spacing w:after="0" w:line="240" w:lineRule="auto"/>
        <w:jc w:val="both"/>
        <w:rPr>
          <w:rFonts w:asciiTheme="majorBidi" w:hAnsiTheme="majorBidi" w:cstheme="majorBidi"/>
          <w:i/>
          <w:iCs/>
          <w:sz w:val="24"/>
          <w:szCs w:val="24"/>
          <w:lang w:val="en-GB"/>
        </w:rPr>
      </w:pPr>
      <w:r w:rsidRPr="002A672B">
        <w:rPr>
          <w:rFonts w:asciiTheme="majorBidi" w:hAnsiTheme="majorBidi" w:cstheme="majorBidi"/>
          <w:i/>
          <w:iCs/>
          <w:sz w:val="24"/>
          <w:szCs w:val="24"/>
          <w:lang w:val="en-GB"/>
        </w:rPr>
        <w:t>Article 19 of Directive 2019/1023: A Preventive and Open-Ended Norm</w:t>
      </w:r>
    </w:p>
    <w:p w14:paraId="64751CBB" w14:textId="77777777" w:rsidR="00300EF6" w:rsidRDefault="00300EF6" w:rsidP="00A3355D">
      <w:pPr>
        <w:spacing w:after="0" w:line="240" w:lineRule="auto"/>
        <w:jc w:val="both"/>
        <w:rPr>
          <w:rFonts w:asciiTheme="majorBidi" w:hAnsiTheme="majorBidi" w:cstheme="majorBidi"/>
          <w:sz w:val="24"/>
          <w:szCs w:val="24"/>
          <w:lang w:val="en-GB"/>
        </w:rPr>
      </w:pPr>
    </w:p>
    <w:p w14:paraId="113865A5" w14:textId="7A91BA94" w:rsidR="002A672B" w:rsidRDefault="002A672B" w:rsidP="00A3355D">
      <w:pPr>
        <w:spacing w:after="0" w:line="240" w:lineRule="auto"/>
        <w:jc w:val="both"/>
        <w:rPr>
          <w:rFonts w:asciiTheme="majorBidi" w:hAnsiTheme="majorBidi" w:cstheme="majorBidi"/>
          <w:sz w:val="24"/>
          <w:szCs w:val="24"/>
          <w:lang w:val="en-GB"/>
        </w:rPr>
      </w:pPr>
      <w:r w:rsidRPr="002A672B">
        <w:rPr>
          <w:rFonts w:asciiTheme="majorBidi" w:hAnsiTheme="majorBidi" w:cstheme="majorBidi"/>
          <w:sz w:val="24"/>
          <w:szCs w:val="24"/>
          <w:lang w:val="en-GB"/>
        </w:rPr>
        <w:t>Article 19 of Directive 2019/1023 is deliberately framed in broad and flexible terms. It does not prescribe specific actions, nor does it define a uniform standard of liability. Instead, it provides a normative framework intended to guide directors’ decision-making when insolvency becomes likely</w:t>
      </w:r>
      <w:r w:rsidR="00A3355D">
        <w:rPr>
          <w:rFonts w:asciiTheme="majorBidi" w:hAnsiTheme="majorBidi" w:cstheme="majorBidi"/>
          <w:sz w:val="24"/>
          <w:szCs w:val="24"/>
          <w:lang w:val="en-GB"/>
        </w:rPr>
        <w:t>.</w:t>
      </w:r>
      <w:r w:rsidR="00300EF6">
        <w:rPr>
          <w:rStyle w:val="FootnoteReference"/>
          <w:rFonts w:asciiTheme="majorBidi" w:hAnsiTheme="majorBidi" w:cstheme="majorBidi"/>
          <w:sz w:val="24"/>
          <w:szCs w:val="24"/>
          <w:lang w:val="en-GB"/>
        </w:rPr>
        <w:footnoteReference w:id="1"/>
      </w:r>
      <w:r w:rsidR="00300EF6">
        <w:rPr>
          <w:rFonts w:asciiTheme="majorBidi" w:hAnsiTheme="majorBidi" w:cstheme="majorBidi"/>
          <w:sz w:val="24"/>
          <w:szCs w:val="24"/>
          <w:lang w:val="en-GB"/>
        </w:rPr>
        <w:t xml:space="preserve"> </w:t>
      </w:r>
      <w:r w:rsidRPr="002A672B">
        <w:rPr>
          <w:rFonts w:asciiTheme="majorBidi" w:hAnsiTheme="majorBidi" w:cstheme="majorBidi"/>
          <w:sz w:val="24"/>
          <w:szCs w:val="24"/>
          <w:lang w:val="en-GB"/>
        </w:rPr>
        <w:t xml:space="preserve">Under this provision, directors are required to have due regard </w:t>
      </w:r>
      <w:r w:rsidRPr="002A672B">
        <w:rPr>
          <w:rFonts w:asciiTheme="majorBidi" w:hAnsiTheme="majorBidi" w:cstheme="majorBidi"/>
          <w:sz w:val="24"/>
          <w:szCs w:val="24"/>
          <w:lang w:val="en-GB"/>
        </w:rPr>
        <w:lastRenderedPageBreak/>
        <w:t>to the interests of creditors, shareholders and other stakeholders, to take appropriate steps to avoid insolvency, and to refrain from deliberate or grossly negligent conduct that threatens the viability of the business. At first glance, these duties appear predominantly defensive, focused on limiting harmful behaviour rather than encouraging proactive engagement.</w:t>
      </w:r>
    </w:p>
    <w:p w14:paraId="487C6046" w14:textId="77777777" w:rsidR="00300EF6" w:rsidRPr="002A672B" w:rsidRDefault="00300EF6" w:rsidP="00A3355D">
      <w:pPr>
        <w:spacing w:after="0" w:line="240" w:lineRule="auto"/>
        <w:jc w:val="both"/>
        <w:rPr>
          <w:rFonts w:asciiTheme="majorBidi" w:hAnsiTheme="majorBidi" w:cstheme="majorBidi"/>
          <w:sz w:val="24"/>
          <w:szCs w:val="24"/>
          <w:lang w:val="en-GB"/>
        </w:rPr>
      </w:pPr>
    </w:p>
    <w:p w14:paraId="3BA01281" w14:textId="77777777" w:rsidR="002A672B" w:rsidRPr="002A672B" w:rsidRDefault="002A672B" w:rsidP="00A3355D">
      <w:pPr>
        <w:spacing w:after="0" w:line="240" w:lineRule="auto"/>
        <w:jc w:val="both"/>
        <w:rPr>
          <w:rFonts w:asciiTheme="majorBidi" w:hAnsiTheme="majorBidi" w:cstheme="majorBidi"/>
          <w:sz w:val="24"/>
          <w:szCs w:val="24"/>
          <w:lang w:val="en-GB"/>
        </w:rPr>
      </w:pPr>
      <w:r w:rsidRPr="002A672B">
        <w:rPr>
          <w:rFonts w:asciiTheme="majorBidi" w:hAnsiTheme="majorBidi" w:cstheme="majorBidi"/>
          <w:sz w:val="24"/>
          <w:szCs w:val="24"/>
          <w:lang w:val="en-GB"/>
        </w:rPr>
        <w:t>Such a reading, however, fails to take account of the broader regulatory context in which Article 19 operates. The Directive is built around preventive restructuring frameworks whose effectiveness depends on timely and structured negotiations among affected parties. These frameworks presuppose active managerial involvement. In many cases, insolvency can only be avoided through negotiations leading to a restructuring plan.</w:t>
      </w:r>
    </w:p>
    <w:p w14:paraId="47DEC0B7" w14:textId="77777777" w:rsidR="003D38CA" w:rsidRDefault="003D38CA" w:rsidP="00A3355D">
      <w:pPr>
        <w:spacing w:after="0" w:line="240" w:lineRule="auto"/>
        <w:jc w:val="both"/>
        <w:rPr>
          <w:rFonts w:asciiTheme="majorBidi" w:hAnsiTheme="majorBidi" w:cstheme="majorBidi"/>
          <w:sz w:val="24"/>
          <w:szCs w:val="24"/>
          <w:lang w:val="en-GB"/>
        </w:rPr>
      </w:pPr>
    </w:p>
    <w:p w14:paraId="06F2B51C" w14:textId="45FA5A92" w:rsidR="002A672B" w:rsidRPr="002A672B" w:rsidRDefault="002A672B" w:rsidP="00A3355D">
      <w:pPr>
        <w:spacing w:after="0" w:line="240" w:lineRule="auto"/>
        <w:jc w:val="both"/>
        <w:rPr>
          <w:rFonts w:asciiTheme="majorBidi" w:hAnsiTheme="majorBidi" w:cstheme="majorBidi"/>
          <w:sz w:val="24"/>
          <w:szCs w:val="24"/>
          <w:lang w:val="en-GB"/>
        </w:rPr>
      </w:pPr>
      <w:r w:rsidRPr="002A672B">
        <w:rPr>
          <w:rFonts w:asciiTheme="majorBidi" w:hAnsiTheme="majorBidi" w:cstheme="majorBidi"/>
          <w:sz w:val="24"/>
          <w:szCs w:val="24"/>
          <w:lang w:val="en-GB"/>
        </w:rPr>
        <w:t>Against this background, the obligation to take appropriate steps to avoid insolvency cannot be reduced to a duty of abstention. Where negotiations represent a reasonable and proportionate means of preserving a viable business, Article 19 points towards a positive expectation of conduct: directors are expected to facilitate and promote those negotiations in good faith</w:t>
      </w:r>
      <w:r w:rsidR="00A3355D">
        <w:rPr>
          <w:rFonts w:asciiTheme="majorBidi" w:hAnsiTheme="majorBidi" w:cstheme="majorBidi"/>
          <w:sz w:val="24"/>
          <w:szCs w:val="24"/>
          <w:lang w:val="en-GB"/>
        </w:rPr>
        <w:t>.</w:t>
      </w:r>
      <w:r w:rsidR="003D38CA">
        <w:rPr>
          <w:rStyle w:val="FootnoteReference"/>
          <w:rFonts w:asciiTheme="majorBidi" w:hAnsiTheme="majorBidi" w:cstheme="majorBidi"/>
          <w:sz w:val="24"/>
          <w:szCs w:val="24"/>
          <w:lang w:val="en-GB"/>
        </w:rPr>
        <w:footnoteReference w:id="2"/>
      </w:r>
    </w:p>
    <w:p w14:paraId="281AA946" w14:textId="6B3AA6F4" w:rsidR="002A672B" w:rsidRPr="002A672B" w:rsidRDefault="002A672B" w:rsidP="00A3355D">
      <w:pPr>
        <w:spacing w:after="0" w:line="240" w:lineRule="auto"/>
        <w:jc w:val="both"/>
        <w:rPr>
          <w:rFonts w:asciiTheme="majorBidi" w:hAnsiTheme="majorBidi" w:cstheme="majorBidi"/>
          <w:sz w:val="24"/>
          <w:szCs w:val="24"/>
          <w:lang w:val="en-GB"/>
        </w:rPr>
      </w:pPr>
    </w:p>
    <w:p w14:paraId="21DC9B74" w14:textId="0958AD86" w:rsidR="002A672B" w:rsidRDefault="002A672B" w:rsidP="00A3355D">
      <w:pPr>
        <w:spacing w:after="0" w:line="240" w:lineRule="auto"/>
        <w:jc w:val="both"/>
        <w:rPr>
          <w:rFonts w:asciiTheme="majorBidi" w:hAnsiTheme="majorBidi" w:cstheme="majorBidi"/>
          <w:i/>
          <w:iCs/>
          <w:sz w:val="24"/>
          <w:szCs w:val="24"/>
          <w:lang w:val="en-GB"/>
        </w:rPr>
      </w:pPr>
      <w:r w:rsidRPr="002A672B">
        <w:rPr>
          <w:rFonts w:asciiTheme="majorBidi" w:hAnsiTheme="majorBidi" w:cstheme="majorBidi"/>
          <w:i/>
          <w:iCs/>
          <w:sz w:val="24"/>
          <w:szCs w:val="24"/>
          <w:lang w:val="en-GB"/>
        </w:rPr>
        <w:t>Promoting Negotiations: Procedural and Substantive Expectations</w:t>
      </w:r>
    </w:p>
    <w:p w14:paraId="340FF832" w14:textId="77777777" w:rsidR="00300EF6" w:rsidRPr="002A672B" w:rsidRDefault="00300EF6" w:rsidP="00A3355D">
      <w:pPr>
        <w:spacing w:after="0" w:line="240" w:lineRule="auto"/>
        <w:jc w:val="both"/>
        <w:rPr>
          <w:rFonts w:asciiTheme="majorBidi" w:hAnsiTheme="majorBidi" w:cstheme="majorBidi"/>
          <w:i/>
          <w:iCs/>
          <w:sz w:val="24"/>
          <w:szCs w:val="24"/>
          <w:lang w:val="en-GB"/>
        </w:rPr>
      </w:pPr>
    </w:p>
    <w:p w14:paraId="61394A68" w14:textId="3CB89CB7" w:rsidR="002A672B" w:rsidRPr="002A672B" w:rsidRDefault="002A672B" w:rsidP="00A3355D">
      <w:pPr>
        <w:spacing w:after="0" w:line="240" w:lineRule="auto"/>
        <w:jc w:val="both"/>
        <w:rPr>
          <w:rFonts w:asciiTheme="majorBidi" w:hAnsiTheme="majorBidi" w:cstheme="majorBidi"/>
          <w:sz w:val="24"/>
          <w:szCs w:val="24"/>
          <w:lang w:val="en-GB"/>
        </w:rPr>
      </w:pPr>
      <w:r w:rsidRPr="002A672B">
        <w:rPr>
          <w:rFonts w:asciiTheme="majorBidi" w:hAnsiTheme="majorBidi" w:cstheme="majorBidi"/>
          <w:sz w:val="24"/>
          <w:szCs w:val="24"/>
          <w:lang w:val="en-GB"/>
        </w:rPr>
        <w:t>The duty to promote negotiations in a preventive restructuring context operates on two interconnected levels.</w:t>
      </w:r>
      <w:r w:rsidR="00300EF6">
        <w:rPr>
          <w:rFonts w:asciiTheme="majorBidi" w:hAnsiTheme="majorBidi" w:cstheme="majorBidi"/>
          <w:sz w:val="24"/>
          <w:szCs w:val="24"/>
          <w:lang w:val="en-GB"/>
        </w:rPr>
        <w:t xml:space="preserve"> </w:t>
      </w:r>
      <w:r w:rsidRPr="002A672B">
        <w:rPr>
          <w:rFonts w:asciiTheme="majorBidi" w:hAnsiTheme="majorBidi" w:cstheme="majorBidi"/>
          <w:sz w:val="24"/>
          <w:szCs w:val="24"/>
          <w:lang w:val="en-GB"/>
        </w:rPr>
        <w:t>On a procedural level, directors are expected to ensure that negotiations can take place in an orderly and meaningful manner. This includes facilitating timely exchanges of information, respecting the procedural constraints of the restructuring instrument chosen, and refraining from unilateral actions that undermine collective bargaining. The scope of managerial discretion varies across frameworks, but in all cases directors play a decisive coordinating role</w:t>
      </w:r>
      <w:r w:rsidR="00A3355D">
        <w:rPr>
          <w:rFonts w:asciiTheme="majorBidi" w:hAnsiTheme="majorBidi" w:cstheme="majorBidi"/>
          <w:sz w:val="24"/>
          <w:szCs w:val="24"/>
          <w:lang w:val="en-GB"/>
        </w:rPr>
        <w:t>.</w:t>
      </w:r>
      <w:r w:rsidR="003D38CA">
        <w:rPr>
          <w:rStyle w:val="FootnoteReference"/>
          <w:rFonts w:asciiTheme="majorBidi" w:hAnsiTheme="majorBidi" w:cstheme="majorBidi"/>
          <w:sz w:val="24"/>
          <w:szCs w:val="24"/>
          <w:lang w:val="en-GB"/>
        </w:rPr>
        <w:footnoteReference w:id="3"/>
      </w:r>
      <w:r w:rsidR="00300EF6">
        <w:rPr>
          <w:rFonts w:asciiTheme="majorBidi" w:hAnsiTheme="majorBidi" w:cstheme="majorBidi"/>
          <w:sz w:val="24"/>
          <w:szCs w:val="24"/>
          <w:lang w:val="en-GB"/>
        </w:rPr>
        <w:t xml:space="preserve"> </w:t>
      </w:r>
      <w:r w:rsidRPr="002A672B">
        <w:rPr>
          <w:rFonts w:asciiTheme="majorBidi" w:hAnsiTheme="majorBidi" w:cstheme="majorBidi"/>
          <w:sz w:val="24"/>
          <w:szCs w:val="24"/>
          <w:lang w:val="en-GB"/>
        </w:rPr>
        <w:t>On a substantive level, directors are expected to engage constructively with the content of negotiations. Preventive restructuring presupposes more than formal participation. It requires directors to assess, present and support restructuring measures that are economically realistic and aligned with the objective of recovery. This may include debt rescheduling, operational restructuring, new financing or, where appropriate, debt-equity conversions.</w:t>
      </w:r>
      <w:r w:rsidR="00300EF6">
        <w:rPr>
          <w:rFonts w:asciiTheme="majorBidi" w:hAnsiTheme="majorBidi" w:cstheme="majorBidi"/>
          <w:sz w:val="24"/>
          <w:szCs w:val="24"/>
          <w:lang w:val="en-GB"/>
        </w:rPr>
        <w:t xml:space="preserve"> </w:t>
      </w:r>
      <w:r w:rsidRPr="002A672B">
        <w:rPr>
          <w:rFonts w:asciiTheme="majorBidi" w:hAnsiTheme="majorBidi" w:cstheme="majorBidi"/>
          <w:sz w:val="24"/>
          <w:szCs w:val="24"/>
          <w:lang w:val="en-GB"/>
        </w:rPr>
        <w:t>What matters is not the success of negotiations as such, but the quality of conduct. Proposals must be serious, proportionate and grounded in the economic reality of the business. Conduct that is manifestly obstructive, dilatory or opportunistic is difficult to reconcile with the preventive logic of the Directive</w:t>
      </w:r>
      <w:r w:rsidR="00A3355D">
        <w:rPr>
          <w:rFonts w:asciiTheme="majorBidi" w:hAnsiTheme="majorBidi" w:cstheme="majorBidi"/>
          <w:sz w:val="24"/>
          <w:szCs w:val="24"/>
          <w:lang w:val="en-GB"/>
        </w:rPr>
        <w:t>.</w:t>
      </w:r>
      <w:r w:rsidR="003D38CA">
        <w:rPr>
          <w:rStyle w:val="FootnoteReference"/>
          <w:rFonts w:asciiTheme="majorBidi" w:hAnsiTheme="majorBidi" w:cstheme="majorBidi"/>
          <w:sz w:val="24"/>
          <w:szCs w:val="24"/>
          <w:lang w:val="en-GB"/>
        </w:rPr>
        <w:footnoteReference w:id="4"/>
      </w:r>
    </w:p>
    <w:p w14:paraId="6DE873DC" w14:textId="01D4AEED" w:rsidR="002A672B" w:rsidRPr="002A672B" w:rsidRDefault="002A672B" w:rsidP="00A3355D">
      <w:pPr>
        <w:spacing w:after="0" w:line="240" w:lineRule="auto"/>
        <w:jc w:val="both"/>
        <w:rPr>
          <w:rFonts w:asciiTheme="majorBidi" w:hAnsiTheme="majorBidi" w:cstheme="majorBidi"/>
          <w:sz w:val="24"/>
          <w:szCs w:val="24"/>
          <w:lang w:val="en-GB"/>
        </w:rPr>
      </w:pPr>
    </w:p>
    <w:p w14:paraId="09B1B756" w14:textId="13D39913" w:rsidR="002A672B" w:rsidRPr="002A672B" w:rsidRDefault="002A672B" w:rsidP="00A3355D">
      <w:pPr>
        <w:spacing w:after="0" w:line="240" w:lineRule="auto"/>
        <w:jc w:val="both"/>
        <w:rPr>
          <w:rFonts w:asciiTheme="majorBidi" w:hAnsiTheme="majorBidi" w:cstheme="majorBidi"/>
          <w:i/>
          <w:iCs/>
          <w:sz w:val="24"/>
          <w:szCs w:val="24"/>
          <w:lang w:val="en-GB"/>
        </w:rPr>
      </w:pPr>
      <w:r w:rsidRPr="002A672B">
        <w:rPr>
          <w:rFonts w:asciiTheme="majorBidi" w:hAnsiTheme="majorBidi" w:cstheme="majorBidi"/>
          <w:i/>
          <w:iCs/>
          <w:sz w:val="24"/>
          <w:szCs w:val="24"/>
          <w:lang w:val="en-GB"/>
        </w:rPr>
        <w:t>The Shift of Fiduciary Duties: A Partial Rationale</w:t>
      </w:r>
    </w:p>
    <w:p w14:paraId="1EF2B0FC" w14:textId="77777777" w:rsidR="00300EF6" w:rsidRDefault="00300EF6" w:rsidP="00A3355D">
      <w:pPr>
        <w:spacing w:after="0" w:line="240" w:lineRule="auto"/>
        <w:jc w:val="both"/>
        <w:rPr>
          <w:rFonts w:asciiTheme="majorBidi" w:hAnsiTheme="majorBidi" w:cstheme="majorBidi"/>
          <w:sz w:val="24"/>
          <w:szCs w:val="24"/>
          <w:lang w:val="en-GB"/>
        </w:rPr>
      </w:pPr>
    </w:p>
    <w:p w14:paraId="18C6183E" w14:textId="4D6E3A48" w:rsidR="002A672B" w:rsidRDefault="002A672B" w:rsidP="00A3355D">
      <w:pPr>
        <w:spacing w:after="0" w:line="240" w:lineRule="auto"/>
        <w:jc w:val="both"/>
        <w:rPr>
          <w:rFonts w:asciiTheme="majorBidi" w:hAnsiTheme="majorBidi" w:cstheme="majorBidi"/>
          <w:sz w:val="24"/>
          <w:szCs w:val="24"/>
          <w:lang w:val="en-GB"/>
        </w:rPr>
      </w:pPr>
      <w:r w:rsidRPr="002A672B">
        <w:rPr>
          <w:rFonts w:asciiTheme="majorBidi" w:hAnsiTheme="majorBidi" w:cstheme="majorBidi"/>
          <w:sz w:val="24"/>
          <w:szCs w:val="24"/>
          <w:lang w:val="en-GB"/>
        </w:rPr>
        <w:t xml:space="preserve">One possible explanation for a duty to promote negotiations lies in the notion of a </w:t>
      </w:r>
      <w:r w:rsidRPr="002A672B">
        <w:rPr>
          <w:rFonts w:asciiTheme="majorBidi" w:hAnsiTheme="majorBidi" w:cstheme="majorBidi"/>
          <w:i/>
          <w:iCs/>
          <w:sz w:val="24"/>
          <w:szCs w:val="24"/>
          <w:lang w:val="en-GB"/>
        </w:rPr>
        <w:t>shift of fiduciary duties</w:t>
      </w:r>
      <w:r w:rsidRPr="002A672B">
        <w:rPr>
          <w:rFonts w:asciiTheme="majorBidi" w:hAnsiTheme="majorBidi" w:cstheme="majorBidi"/>
          <w:sz w:val="24"/>
          <w:szCs w:val="24"/>
          <w:lang w:val="en-GB"/>
        </w:rPr>
        <w:t xml:space="preserve"> as insolvency approaches. According to this view, directors’ duties progressively reorient from shareholders towards creditors, reflecting the relocation of </w:t>
      </w:r>
      <w:r w:rsidRPr="002A672B">
        <w:rPr>
          <w:rFonts w:asciiTheme="majorBidi" w:hAnsiTheme="majorBidi" w:cstheme="majorBidi"/>
          <w:sz w:val="24"/>
          <w:szCs w:val="24"/>
          <w:lang w:val="en-GB"/>
        </w:rPr>
        <w:lastRenderedPageBreak/>
        <w:t>economic risk once equity is exhausted.</w:t>
      </w:r>
      <w:r w:rsidR="00300EF6">
        <w:rPr>
          <w:rFonts w:asciiTheme="majorBidi" w:hAnsiTheme="majorBidi" w:cstheme="majorBidi"/>
          <w:sz w:val="24"/>
          <w:szCs w:val="24"/>
          <w:lang w:val="en-GB"/>
        </w:rPr>
        <w:t xml:space="preserve"> </w:t>
      </w:r>
      <w:r w:rsidRPr="002A672B">
        <w:rPr>
          <w:rFonts w:asciiTheme="majorBidi" w:hAnsiTheme="majorBidi" w:cstheme="majorBidi"/>
          <w:sz w:val="24"/>
          <w:szCs w:val="24"/>
          <w:lang w:val="en-GB"/>
        </w:rPr>
        <w:t>This rationale captures an important aspect of pre-insolvency governance</w:t>
      </w:r>
      <w:r w:rsidR="00A3355D">
        <w:rPr>
          <w:rFonts w:asciiTheme="majorBidi" w:hAnsiTheme="majorBidi" w:cstheme="majorBidi"/>
          <w:sz w:val="24"/>
          <w:szCs w:val="24"/>
          <w:lang w:val="en-GB"/>
        </w:rPr>
        <w:t>.</w:t>
      </w:r>
      <w:r w:rsidR="00E4063F">
        <w:rPr>
          <w:rStyle w:val="FootnoteReference"/>
          <w:rFonts w:asciiTheme="majorBidi" w:hAnsiTheme="majorBidi" w:cstheme="majorBidi"/>
          <w:sz w:val="24"/>
          <w:szCs w:val="24"/>
          <w:lang w:val="en-GB"/>
        </w:rPr>
        <w:footnoteReference w:id="5"/>
      </w:r>
      <w:r w:rsidRPr="002A672B">
        <w:rPr>
          <w:rFonts w:asciiTheme="majorBidi" w:hAnsiTheme="majorBidi" w:cstheme="majorBidi"/>
          <w:sz w:val="24"/>
          <w:szCs w:val="24"/>
          <w:lang w:val="en-GB"/>
        </w:rPr>
        <w:t xml:space="preserve"> It explains why excessively risky strategies aimed at salvaging shareholder value at creditors’ expense become unacceptable in financial distress. It also resonates with insolvency law doctrines that impose liability on directors for conduct that creates or aggravates insolvency through intent or gross negligence.</w:t>
      </w:r>
    </w:p>
    <w:p w14:paraId="2C2976E7" w14:textId="77777777" w:rsidR="00300EF6" w:rsidRPr="002A672B" w:rsidRDefault="00300EF6" w:rsidP="00A3355D">
      <w:pPr>
        <w:spacing w:after="0" w:line="240" w:lineRule="auto"/>
        <w:jc w:val="both"/>
        <w:rPr>
          <w:rFonts w:asciiTheme="majorBidi" w:hAnsiTheme="majorBidi" w:cstheme="majorBidi"/>
          <w:sz w:val="24"/>
          <w:szCs w:val="24"/>
          <w:lang w:val="en-GB"/>
        </w:rPr>
      </w:pPr>
    </w:p>
    <w:p w14:paraId="544C20A7" w14:textId="7EA2543F" w:rsidR="002A672B" w:rsidRPr="002A672B" w:rsidRDefault="002A672B" w:rsidP="00A3355D">
      <w:pPr>
        <w:spacing w:after="0" w:line="240" w:lineRule="auto"/>
        <w:jc w:val="both"/>
        <w:rPr>
          <w:rFonts w:asciiTheme="majorBidi" w:hAnsiTheme="majorBidi" w:cstheme="majorBidi"/>
          <w:sz w:val="24"/>
          <w:szCs w:val="24"/>
          <w:lang w:val="en-GB"/>
        </w:rPr>
      </w:pPr>
      <w:r w:rsidRPr="002A672B">
        <w:rPr>
          <w:rFonts w:asciiTheme="majorBidi" w:hAnsiTheme="majorBidi" w:cstheme="majorBidi"/>
          <w:sz w:val="24"/>
          <w:szCs w:val="24"/>
          <w:lang w:val="en-GB"/>
        </w:rPr>
        <w:t>However, as a foundation for preventive restructuring, this explanation remains incomplete. Preventive frameworks are not designed primarily to protect creditors against loss. Their objective is broader: to preserve viable businesses through coordinated solutions that may benefit creditors, shareholders and other stakeholders alike. In practice, creditors may prefer liquidation, while recovery may still represent the economically and socially superior outcome.</w:t>
      </w:r>
      <w:r w:rsidR="00300EF6">
        <w:rPr>
          <w:rFonts w:asciiTheme="majorBidi" w:hAnsiTheme="majorBidi" w:cstheme="majorBidi"/>
          <w:sz w:val="24"/>
          <w:szCs w:val="24"/>
          <w:lang w:val="en-GB"/>
        </w:rPr>
        <w:t xml:space="preserve"> </w:t>
      </w:r>
      <w:r w:rsidRPr="002A672B">
        <w:rPr>
          <w:rFonts w:asciiTheme="majorBidi" w:hAnsiTheme="majorBidi" w:cstheme="majorBidi"/>
          <w:sz w:val="24"/>
          <w:szCs w:val="24"/>
          <w:lang w:val="en-GB"/>
        </w:rPr>
        <w:t>A simple reallocation of fiduciary duties in favour of creditors therefore fails to capture the multi-stakeholder logic of preventive restructuring. It may justify limits on managerial risk-taking, but it does not explain why directors should actively support negotiations aimed at recovery.</w:t>
      </w:r>
      <w:r w:rsidR="00FD2453">
        <w:rPr>
          <w:rStyle w:val="FootnoteReference"/>
          <w:rFonts w:asciiTheme="majorBidi" w:hAnsiTheme="majorBidi" w:cstheme="majorBidi"/>
          <w:sz w:val="24"/>
          <w:szCs w:val="24"/>
          <w:lang w:val="en-GB"/>
        </w:rPr>
        <w:footnoteReference w:id="6"/>
      </w:r>
    </w:p>
    <w:p w14:paraId="078D8708" w14:textId="2A6353FB" w:rsidR="002A672B" w:rsidRPr="002A672B" w:rsidRDefault="002A672B" w:rsidP="00A3355D">
      <w:pPr>
        <w:spacing w:after="0" w:line="240" w:lineRule="auto"/>
        <w:jc w:val="both"/>
        <w:rPr>
          <w:rFonts w:asciiTheme="majorBidi" w:hAnsiTheme="majorBidi" w:cstheme="majorBidi"/>
          <w:sz w:val="24"/>
          <w:szCs w:val="24"/>
          <w:lang w:val="en-GB"/>
        </w:rPr>
      </w:pPr>
    </w:p>
    <w:p w14:paraId="5B81F8A6" w14:textId="09A72ED2" w:rsidR="002A672B" w:rsidRPr="002A672B" w:rsidRDefault="002A672B" w:rsidP="00A3355D">
      <w:pPr>
        <w:spacing w:after="0" w:line="240" w:lineRule="auto"/>
        <w:jc w:val="both"/>
        <w:rPr>
          <w:rFonts w:asciiTheme="majorBidi" w:hAnsiTheme="majorBidi" w:cstheme="majorBidi"/>
          <w:i/>
          <w:iCs/>
          <w:sz w:val="24"/>
          <w:szCs w:val="24"/>
          <w:lang w:val="en-GB"/>
        </w:rPr>
      </w:pPr>
      <w:r w:rsidRPr="002A672B">
        <w:rPr>
          <w:rFonts w:asciiTheme="majorBidi" w:hAnsiTheme="majorBidi" w:cstheme="majorBidi"/>
          <w:i/>
          <w:iCs/>
          <w:sz w:val="24"/>
          <w:szCs w:val="24"/>
          <w:lang w:val="en-GB"/>
        </w:rPr>
        <w:t>The Common Social Interest in Preventive Restructuring</w:t>
      </w:r>
    </w:p>
    <w:p w14:paraId="5E7A2F39" w14:textId="77777777" w:rsidR="00300EF6" w:rsidRDefault="00300EF6" w:rsidP="00A3355D">
      <w:pPr>
        <w:spacing w:after="0" w:line="240" w:lineRule="auto"/>
        <w:jc w:val="both"/>
        <w:rPr>
          <w:rFonts w:asciiTheme="majorBidi" w:hAnsiTheme="majorBidi" w:cstheme="majorBidi"/>
          <w:sz w:val="24"/>
          <w:szCs w:val="24"/>
          <w:lang w:val="en-GB"/>
        </w:rPr>
      </w:pPr>
    </w:p>
    <w:p w14:paraId="68DC8C36" w14:textId="237C6EFC" w:rsidR="002A672B" w:rsidRDefault="002A672B" w:rsidP="00A3355D">
      <w:pPr>
        <w:spacing w:after="0" w:line="240" w:lineRule="auto"/>
        <w:jc w:val="both"/>
        <w:rPr>
          <w:rFonts w:asciiTheme="majorBidi" w:hAnsiTheme="majorBidi" w:cstheme="majorBidi"/>
          <w:sz w:val="24"/>
          <w:szCs w:val="24"/>
          <w:lang w:val="en-GB"/>
        </w:rPr>
      </w:pPr>
      <w:r w:rsidRPr="002A672B">
        <w:rPr>
          <w:rFonts w:asciiTheme="majorBidi" w:hAnsiTheme="majorBidi" w:cstheme="majorBidi"/>
          <w:sz w:val="24"/>
          <w:szCs w:val="24"/>
          <w:lang w:val="en-GB"/>
        </w:rPr>
        <w:t xml:space="preserve">A more convincing and integrative explanation is found in the concept of a </w:t>
      </w:r>
      <w:r w:rsidRPr="00A3355D">
        <w:rPr>
          <w:rFonts w:asciiTheme="majorBidi" w:hAnsiTheme="majorBidi" w:cstheme="majorBidi"/>
          <w:i/>
          <w:iCs/>
          <w:sz w:val="24"/>
          <w:szCs w:val="24"/>
          <w:lang w:val="en-GB"/>
        </w:rPr>
        <w:t>common social interest</w:t>
      </w:r>
      <w:r w:rsidR="00A3355D">
        <w:rPr>
          <w:rFonts w:asciiTheme="majorBidi" w:hAnsiTheme="majorBidi" w:cstheme="majorBidi"/>
          <w:sz w:val="24"/>
          <w:szCs w:val="24"/>
          <w:lang w:val="en-GB"/>
        </w:rPr>
        <w:t>.</w:t>
      </w:r>
      <w:r w:rsidR="00FD2453">
        <w:rPr>
          <w:rStyle w:val="FootnoteReference"/>
          <w:rFonts w:asciiTheme="majorBidi" w:hAnsiTheme="majorBidi" w:cstheme="majorBidi"/>
          <w:sz w:val="24"/>
          <w:szCs w:val="24"/>
          <w:lang w:val="en-GB"/>
        </w:rPr>
        <w:footnoteReference w:id="7"/>
      </w:r>
      <w:r w:rsidRPr="002A672B">
        <w:rPr>
          <w:rFonts w:asciiTheme="majorBidi" w:hAnsiTheme="majorBidi" w:cstheme="majorBidi"/>
          <w:sz w:val="24"/>
          <w:szCs w:val="24"/>
          <w:lang w:val="en-GB"/>
        </w:rPr>
        <w:t xml:space="preserve"> Once a company enters the zone of likely insolvency, all parties exposed to its financial condition face a shared risk: the potential loss of value resulting from a disorderly collapse. Preventive restructuring frameworks exist precisely to manage this shared exposure through coordinated action.</w:t>
      </w:r>
      <w:r w:rsidR="00300EF6">
        <w:rPr>
          <w:rFonts w:asciiTheme="majorBidi" w:hAnsiTheme="majorBidi" w:cstheme="majorBidi"/>
          <w:sz w:val="24"/>
          <w:szCs w:val="24"/>
          <w:lang w:val="en-GB"/>
        </w:rPr>
        <w:t xml:space="preserve"> </w:t>
      </w:r>
      <w:r w:rsidRPr="002A672B">
        <w:rPr>
          <w:rFonts w:asciiTheme="majorBidi" w:hAnsiTheme="majorBidi" w:cstheme="majorBidi"/>
          <w:sz w:val="24"/>
          <w:szCs w:val="24"/>
          <w:lang w:val="en-GB"/>
        </w:rPr>
        <w:t>From this perspective, preventive restructuring gives rise to a community of interests centred on a common asset: the viable enterprise. While stakeholders’ individual interests remain distinct, they converge around the objective of preserving or maximising the value of that asset. This convergence justifies reciprocal duties of cooperation and loyalty, comparable — though not identical — to those arising within the corporate sphere</w:t>
      </w:r>
      <w:r w:rsidR="00A3355D">
        <w:rPr>
          <w:rFonts w:asciiTheme="majorBidi" w:hAnsiTheme="majorBidi" w:cstheme="majorBidi"/>
          <w:sz w:val="24"/>
          <w:szCs w:val="24"/>
          <w:lang w:val="en-GB"/>
        </w:rPr>
        <w:t>.</w:t>
      </w:r>
      <w:r w:rsidR="00771B04">
        <w:rPr>
          <w:rStyle w:val="FootnoteReference"/>
          <w:rFonts w:asciiTheme="majorBidi" w:hAnsiTheme="majorBidi" w:cstheme="majorBidi"/>
          <w:sz w:val="24"/>
          <w:szCs w:val="24"/>
          <w:lang w:val="en-GB"/>
        </w:rPr>
        <w:footnoteReference w:id="8"/>
      </w:r>
    </w:p>
    <w:p w14:paraId="2F48287D" w14:textId="77777777" w:rsidR="00300EF6" w:rsidRPr="002A672B" w:rsidRDefault="00300EF6" w:rsidP="00A3355D">
      <w:pPr>
        <w:spacing w:after="0" w:line="240" w:lineRule="auto"/>
        <w:jc w:val="both"/>
        <w:rPr>
          <w:rFonts w:asciiTheme="majorBidi" w:hAnsiTheme="majorBidi" w:cstheme="majorBidi"/>
          <w:sz w:val="24"/>
          <w:szCs w:val="24"/>
          <w:lang w:val="en-GB"/>
        </w:rPr>
      </w:pPr>
    </w:p>
    <w:p w14:paraId="2DBA6880" w14:textId="00D51C89" w:rsidR="002A672B" w:rsidRPr="002A672B" w:rsidRDefault="002A672B" w:rsidP="00A3355D">
      <w:pPr>
        <w:spacing w:after="0" w:line="240" w:lineRule="auto"/>
        <w:jc w:val="both"/>
        <w:rPr>
          <w:rFonts w:asciiTheme="majorBidi" w:hAnsiTheme="majorBidi" w:cstheme="majorBidi"/>
          <w:sz w:val="24"/>
          <w:szCs w:val="24"/>
          <w:lang w:val="en-GB"/>
        </w:rPr>
      </w:pPr>
      <w:r w:rsidRPr="002A672B">
        <w:rPr>
          <w:rFonts w:asciiTheme="majorBidi" w:hAnsiTheme="majorBidi" w:cstheme="majorBidi"/>
          <w:sz w:val="24"/>
          <w:szCs w:val="24"/>
          <w:lang w:val="en-GB"/>
        </w:rPr>
        <w:t>In this setting, directors assume a role that goes beyond the traditional agency model. They act as institutional stewards of the restructuring process. Where the enterprise is viable, they are expected to promote negotiations that offer a reasonable prospect of recovery. Strategies that unjustifiably obstruct or undermine such negotiations conflict with the common social interest underlying preventive restructuring.</w:t>
      </w:r>
      <w:r w:rsidR="00300EF6">
        <w:rPr>
          <w:rFonts w:asciiTheme="majorBidi" w:hAnsiTheme="majorBidi" w:cstheme="majorBidi"/>
          <w:sz w:val="24"/>
          <w:szCs w:val="24"/>
          <w:lang w:val="en-GB"/>
        </w:rPr>
        <w:t xml:space="preserve"> </w:t>
      </w:r>
      <w:r w:rsidRPr="002A672B">
        <w:rPr>
          <w:rFonts w:asciiTheme="majorBidi" w:hAnsiTheme="majorBidi" w:cstheme="majorBidi"/>
          <w:sz w:val="24"/>
          <w:szCs w:val="24"/>
          <w:lang w:val="en-GB"/>
        </w:rPr>
        <w:t>This approach aligns with scholarly accounts that conceptualise pre-insolvency restructuring as a coordination problem among parties exposed to a common danger, requiring cooperative behaviour to maximise collective outcomes.</w:t>
      </w:r>
      <w:r w:rsidR="00FD2453">
        <w:rPr>
          <w:rStyle w:val="FootnoteReference"/>
          <w:rFonts w:asciiTheme="majorBidi" w:hAnsiTheme="majorBidi" w:cstheme="majorBidi"/>
          <w:sz w:val="24"/>
          <w:szCs w:val="24"/>
          <w:lang w:val="en-GB"/>
        </w:rPr>
        <w:footnoteReference w:id="9"/>
      </w:r>
    </w:p>
    <w:p w14:paraId="6347BEA7" w14:textId="3F999422" w:rsidR="002A672B" w:rsidRPr="002A672B" w:rsidRDefault="002A672B" w:rsidP="00A3355D">
      <w:pPr>
        <w:spacing w:after="0" w:line="240" w:lineRule="auto"/>
        <w:jc w:val="both"/>
        <w:rPr>
          <w:rFonts w:asciiTheme="majorBidi" w:hAnsiTheme="majorBidi" w:cstheme="majorBidi"/>
          <w:sz w:val="24"/>
          <w:szCs w:val="24"/>
          <w:lang w:val="en-GB"/>
        </w:rPr>
      </w:pPr>
    </w:p>
    <w:p w14:paraId="526A09CC" w14:textId="1DD31044" w:rsidR="002A672B" w:rsidRPr="002A672B" w:rsidRDefault="002A672B" w:rsidP="00A3355D">
      <w:pPr>
        <w:spacing w:after="0" w:line="240" w:lineRule="auto"/>
        <w:jc w:val="both"/>
        <w:rPr>
          <w:rFonts w:asciiTheme="majorBidi" w:hAnsiTheme="majorBidi" w:cstheme="majorBidi"/>
          <w:i/>
          <w:iCs/>
          <w:sz w:val="24"/>
          <w:szCs w:val="24"/>
          <w:lang w:val="en-GB"/>
        </w:rPr>
      </w:pPr>
      <w:r w:rsidRPr="002A672B">
        <w:rPr>
          <w:rFonts w:asciiTheme="majorBidi" w:hAnsiTheme="majorBidi" w:cstheme="majorBidi"/>
          <w:i/>
          <w:iCs/>
          <w:sz w:val="24"/>
          <w:szCs w:val="24"/>
          <w:lang w:val="en-GB"/>
        </w:rPr>
        <w:t>Re-reading Article 19 Through the Lens of the Common Social Interest</w:t>
      </w:r>
    </w:p>
    <w:p w14:paraId="0603578B" w14:textId="77777777" w:rsidR="00300EF6" w:rsidRDefault="00300EF6" w:rsidP="00A3355D">
      <w:pPr>
        <w:spacing w:after="0" w:line="240" w:lineRule="auto"/>
        <w:jc w:val="both"/>
        <w:rPr>
          <w:rFonts w:asciiTheme="majorBidi" w:hAnsiTheme="majorBidi" w:cstheme="majorBidi"/>
          <w:sz w:val="24"/>
          <w:szCs w:val="24"/>
          <w:lang w:val="en-GB"/>
        </w:rPr>
      </w:pPr>
    </w:p>
    <w:p w14:paraId="54E1DBA4" w14:textId="0D7F6D06" w:rsidR="002A672B" w:rsidRPr="002A672B" w:rsidRDefault="002A672B" w:rsidP="00A3355D">
      <w:pPr>
        <w:spacing w:after="0" w:line="240" w:lineRule="auto"/>
        <w:jc w:val="both"/>
        <w:rPr>
          <w:rFonts w:asciiTheme="majorBidi" w:hAnsiTheme="majorBidi" w:cstheme="majorBidi"/>
          <w:sz w:val="24"/>
          <w:szCs w:val="24"/>
          <w:lang w:val="en-GB"/>
        </w:rPr>
      </w:pPr>
      <w:r w:rsidRPr="002A672B">
        <w:rPr>
          <w:rFonts w:asciiTheme="majorBidi" w:hAnsiTheme="majorBidi" w:cstheme="majorBidi"/>
          <w:sz w:val="24"/>
          <w:szCs w:val="24"/>
          <w:lang w:val="en-GB"/>
        </w:rPr>
        <w:t>Article 19 of Directive 2019/1023 accommodates this understanding. By requiring directors to have due regard to the interests of creditors, shareholders and other stakeholders, while taking steps to avoid insolvency, the provision implicitly recognises that these interests converge, in the preventive phase, around a shared objective: recovery where viable.</w:t>
      </w:r>
      <w:r w:rsidR="00300EF6">
        <w:rPr>
          <w:rFonts w:asciiTheme="majorBidi" w:hAnsiTheme="majorBidi" w:cstheme="majorBidi"/>
          <w:sz w:val="24"/>
          <w:szCs w:val="24"/>
          <w:lang w:val="en-GB"/>
        </w:rPr>
        <w:t xml:space="preserve"> </w:t>
      </w:r>
      <w:r w:rsidRPr="002A672B">
        <w:rPr>
          <w:rFonts w:asciiTheme="majorBidi" w:hAnsiTheme="majorBidi" w:cstheme="majorBidi"/>
          <w:sz w:val="24"/>
          <w:szCs w:val="24"/>
          <w:lang w:val="en-GB"/>
        </w:rPr>
        <w:t>Read in this light, Article 19 does not merely impose negative constraints on managerial conduct. It supports a positive expectation of cooperative behaviour aligned with the success of restructuring negotiations. The duty to promote negotiations thus emerges not as an autonomous obligation, but as a functional expression of the preventive logic embedded in the Directive.</w:t>
      </w:r>
      <w:r w:rsidR="00300EF6">
        <w:rPr>
          <w:rFonts w:asciiTheme="majorBidi" w:hAnsiTheme="majorBidi" w:cstheme="majorBidi"/>
          <w:sz w:val="24"/>
          <w:szCs w:val="24"/>
          <w:lang w:val="en-GB"/>
        </w:rPr>
        <w:t xml:space="preserve"> </w:t>
      </w:r>
      <w:r w:rsidRPr="002A672B">
        <w:rPr>
          <w:rFonts w:asciiTheme="majorBidi" w:hAnsiTheme="majorBidi" w:cstheme="majorBidi"/>
          <w:sz w:val="24"/>
          <w:szCs w:val="24"/>
          <w:lang w:val="en-GB"/>
        </w:rPr>
        <w:t>This duty is not absolute. Where the business is no longer viable, or where negotiations would merely delay an inevitable insolvency while increasing losses, directors may be required to refrain from pursuing restructuring. In such cases, the balance of interests may legitimately shift towards creditor protection and orderly insolvency. Where viability exists, however, the common social interest provides a principled basis for expecting directors to actively support reasonable and fair negotiations aimed at recovery.</w:t>
      </w:r>
      <w:r w:rsidR="00771B04">
        <w:rPr>
          <w:rStyle w:val="FootnoteReference"/>
          <w:rFonts w:asciiTheme="majorBidi" w:hAnsiTheme="majorBidi" w:cstheme="majorBidi"/>
          <w:sz w:val="24"/>
          <w:szCs w:val="24"/>
          <w:lang w:val="en-GB"/>
        </w:rPr>
        <w:footnoteReference w:id="10"/>
      </w:r>
    </w:p>
    <w:p w14:paraId="5B5B91C8" w14:textId="25F56970" w:rsidR="00300EF6" w:rsidRDefault="00300EF6" w:rsidP="00A3355D">
      <w:pPr>
        <w:spacing w:after="0" w:line="240" w:lineRule="auto"/>
        <w:rPr>
          <w:rFonts w:asciiTheme="majorBidi" w:hAnsiTheme="majorBidi" w:cstheme="majorBidi"/>
          <w:sz w:val="24"/>
          <w:szCs w:val="24"/>
          <w:lang w:val="en-GB"/>
        </w:rPr>
      </w:pPr>
    </w:p>
    <w:p w14:paraId="52DAC654" w14:textId="11E09413" w:rsidR="004A3AC1" w:rsidRDefault="004A3AC1" w:rsidP="00A3355D">
      <w:pPr>
        <w:spacing w:after="0" w:line="240" w:lineRule="auto"/>
        <w:rPr>
          <w:rFonts w:asciiTheme="majorBidi" w:hAnsiTheme="majorBidi" w:cstheme="majorBidi"/>
          <w:sz w:val="24"/>
          <w:szCs w:val="24"/>
          <w:lang w:val="en-GB"/>
        </w:rPr>
      </w:pPr>
      <w:r w:rsidRPr="004A3AC1">
        <w:rPr>
          <w:rFonts w:asciiTheme="majorBidi" w:hAnsiTheme="majorBidi" w:cstheme="majorBidi"/>
          <w:i/>
          <w:iCs/>
          <w:sz w:val="24"/>
          <w:szCs w:val="24"/>
          <w:lang w:val="en-GB"/>
        </w:rPr>
        <w:t>Conclusion</w:t>
      </w:r>
    </w:p>
    <w:p w14:paraId="04B94188" w14:textId="77777777" w:rsidR="004A3AC1" w:rsidRDefault="004A3AC1" w:rsidP="00A3355D">
      <w:pPr>
        <w:spacing w:after="0" w:line="240" w:lineRule="auto"/>
        <w:jc w:val="both"/>
        <w:rPr>
          <w:rFonts w:asciiTheme="majorBidi" w:hAnsiTheme="majorBidi" w:cstheme="majorBidi"/>
          <w:sz w:val="24"/>
          <w:szCs w:val="24"/>
          <w:lang w:val="en-GB"/>
        </w:rPr>
      </w:pPr>
    </w:p>
    <w:p w14:paraId="3F85A0DA" w14:textId="6F9D685A" w:rsidR="002A672B" w:rsidRPr="002A672B" w:rsidRDefault="002A672B" w:rsidP="00A3355D">
      <w:pPr>
        <w:spacing w:after="0" w:line="240" w:lineRule="auto"/>
        <w:jc w:val="both"/>
        <w:rPr>
          <w:rFonts w:asciiTheme="majorBidi" w:hAnsiTheme="majorBidi" w:cstheme="majorBidi"/>
          <w:sz w:val="24"/>
          <w:szCs w:val="24"/>
          <w:lang w:val="en-GB"/>
        </w:rPr>
      </w:pPr>
      <w:r w:rsidRPr="002A672B">
        <w:rPr>
          <w:rFonts w:asciiTheme="majorBidi" w:hAnsiTheme="majorBidi" w:cstheme="majorBidi"/>
          <w:sz w:val="24"/>
          <w:szCs w:val="24"/>
          <w:lang w:val="en-GB"/>
        </w:rPr>
        <w:t>The duty of directors to promote negotiations in the pre-insolvency phase cannot be satisfactorily explained by a single doctrinal model. The shift of fiduciary duties accounts for important constraints on managerial conduct, but it does not capture the affirmative logic of preventive restructuring.</w:t>
      </w:r>
      <w:r w:rsidR="00300EF6">
        <w:rPr>
          <w:rFonts w:asciiTheme="majorBidi" w:hAnsiTheme="majorBidi" w:cstheme="majorBidi"/>
          <w:sz w:val="24"/>
          <w:szCs w:val="24"/>
          <w:lang w:val="en-GB"/>
        </w:rPr>
        <w:t xml:space="preserve"> </w:t>
      </w:r>
      <w:r w:rsidRPr="002A672B">
        <w:rPr>
          <w:rFonts w:asciiTheme="majorBidi" w:hAnsiTheme="majorBidi" w:cstheme="majorBidi"/>
          <w:sz w:val="24"/>
          <w:szCs w:val="24"/>
          <w:lang w:val="en-GB"/>
        </w:rPr>
        <w:t>The concept of a common social interest offers a more coherent foundation. It reflects the collective nature of preventive frameworks, aligns with the objectives of Directive 2019/1023, and explains why directors are expected to act as facilitators of cooperative solutions where recovery remains viable.</w:t>
      </w:r>
      <w:r w:rsidR="00300EF6">
        <w:rPr>
          <w:rFonts w:asciiTheme="majorBidi" w:hAnsiTheme="majorBidi" w:cstheme="majorBidi"/>
          <w:sz w:val="24"/>
          <w:szCs w:val="24"/>
          <w:lang w:val="en-GB"/>
        </w:rPr>
        <w:t xml:space="preserve"> </w:t>
      </w:r>
      <w:r w:rsidRPr="002A672B">
        <w:rPr>
          <w:rFonts w:asciiTheme="majorBidi" w:hAnsiTheme="majorBidi" w:cstheme="majorBidi"/>
          <w:sz w:val="24"/>
          <w:szCs w:val="24"/>
          <w:lang w:val="en-GB"/>
        </w:rPr>
        <w:t>Article 19 does not merely tolerate such an approach; it presupposes it. By anchoring directors’ obligations in a preventive and multi-stakeholder paradigm, the Directive reinforces a model of corporate governance in financial distress that prioritises early intervention, cooperation and value preservation over delayed and destructive insolvency proceedings.</w:t>
      </w:r>
    </w:p>
    <w:p w14:paraId="590A5EBB" w14:textId="77777777" w:rsidR="002A672B" w:rsidRPr="002A672B" w:rsidRDefault="002A672B" w:rsidP="00A3355D">
      <w:pPr>
        <w:spacing w:after="0" w:line="240" w:lineRule="auto"/>
        <w:rPr>
          <w:rFonts w:asciiTheme="majorBidi" w:hAnsiTheme="majorBidi" w:cstheme="majorBidi"/>
          <w:sz w:val="24"/>
          <w:szCs w:val="24"/>
          <w:lang w:val="en-GB"/>
        </w:rPr>
      </w:pPr>
    </w:p>
    <w:sectPr w:rsidR="002A672B" w:rsidRPr="002A672B" w:rsidSect="002A672B">
      <w:headerReference w:type="default" r:id="rId8"/>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51A7" w14:textId="77777777" w:rsidR="00142B8A" w:rsidRDefault="00142B8A" w:rsidP="00300EF6">
      <w:pPr>
        <w:spacing w:after="0" w:line="240" w:lineRule="auto"/>
      </w:pPr>
      <w:r>
        <w:separator/>
      </w:r>
    </w:p>
  </w:endnote>
  <w:endnote w:type="continuationSeparator" w:id="0">
    <w:p w14:paraId="7E3F8933" w14:textId="77777777" w:rsidR="00142B8A" w:rsidRDefault="00142B8A" w:rsidP="0030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sGotT">
    <w:altName w:val="Calibri"/>
    <w:panose1 w:val="020B0604020202020204"/>
    <w:charset w:val="00"/>
    <w:family w:val="auto"/>
    <w:pitch w:val="variable"/>
    <w:sig w:usb0="800000AF" w:usb1="0000204A" w:usb2="00000000" w:usb3="00000000" w:csb0="00000011" w:csb1="00000000"/>
  </w:font>
  <w:font w:name="Aptos">
    <w:altName w:val="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E000B" w14:textId="77777777" w:rsidR="00142B8A" w:rsidRDefault="00142B8A" w:rsidP="00300EF6">
      <w:pPr>
        <w:spacing w:after="0" w:line="240" w:lineRule="auto"/>
      </w:pPr>
      <w:r>
        <w:separator/>
      </w:r>
    </w:p>
  </w:footnote>
  <w:footnote w:type="continuationSeparator" w:id="0">
    <w:p w14:paraId="77675FB0" w14:textId="77777777" w:rsidR="00142B8A" w:rsidRDefault="00142B8A" w:rsidP="00300EF6">
      <w:pPr>
        <w:spacing w:after="0" w:line="240" w:lineRule="auto"/>
      </w:pPr>
      <w:r>
        <w:continuationSeparator/>
      </w:r>
    </w:p>
  </w:footnote>
  <w:footnote w:id="1">
    <w:p w14:paraId="116B1B05" w14:textId="705E7262" w:rsidR="003D38CA" w:rsidRPr="00CA4BC8" w:rsidRDefault="00300EF6" w:rsidP="00CA4BC8">
      <w:pPr>
        <w:spacing w:after="0" w:line="240" w:lineRule="auto"/>
        <w:jc w:val="both"/>
        <w:rPr>
          <w:rFonts w:asciiTheme="majorBidi" w:hAnsiTheme="majorBidi" w:cstheme="majorBidi"/>
          <w:b/>
          <w:bCs/>
          <w:color w:val="000000" w:themeColor="text1"/>
          <w:sz w:val="20"/>
          <w:szCs w:val="20"/>
          <w:lang w:val="en-GB"/>
        </w:rPr>
      </w:pPr>
      <w:r w:rsidRPr="00CA4BC8">
        <w:rPr>
          <w:rStyle w:val="FootnoteReference"/>
          <w:rFonts w:asciiTheme="majorBidi" w:hAnsiTheme="majorBidi" w:cstheme="majorBidi"/>
          <w:sz w:val="20"/>
          <w:szCs w:val="20"/>
          <w:lang w:val="en-GB"/>
        </w:rPr>
        <w:footnoteRef/>
      </w:r>
      <w:r w:rsidRPr="00CA4BC8">
        <w:rPr>
          <w:rFonts w:asciiTheme="majorBidi" w:hAnsiTheme="majorBidi" w:cstheme="majorBidi"/>
          <w:sz w:val="20"/>
          <w:szCs w:val="20"/>
          <w:lang w:val="en-GB"/>
        </w:rPr>
        <w:t xml:space="preserve"> See </w:t>
      </w:r>
      <w:r w:rsidRPr="00CA4BC8">
        <w:rPr>
          <w:rFonts w:asciiTheme="majorBidi" w:hAnsiTheme="majorBidi" w:cstheme="majorBidi"/>
          <w:color w:val="000000" w:themeColor="text1"/>
          <w:sz w:val="20"/>
          <w:szCs w:val="20"/>
          <w:lang w:val="en-GB"/>
        </w:rPr>
        <w:t>Catarina Serra, ‘O dever de prevenção da insolvência na perspectiva dos deveres fundamentais dos administradores (a crescente encruzilhada do Direito das Sociedades e do Direito da Insolvência)’,</w:t>
      </w:r>
      <w:r w:rsidR="00CA4BC8" w:rsidRPr="00CA4BC8">
        <w:rPr>
          <w:rFonts w:asciiTheme="majorBidi" w:hAnsiTheme="majorBidi" w:cstheme="majorBidi"/>
          <w:color w:val="000000" w:themeColor="text1"/>
          <w:sz w:val="20"/>
          <w:szCs w:val="20"/>
          <w:lang w:val="en-GB"/>
        </w:rPr>
        <w:t xml:space="preserve"> in</w:t>
      </w:r>
      <w:r w:rsidRPr="00CA4BC8">
        <w:rPr>
          <w:rFonts w:asciiTheme="majorBidi" w:hAnsiTheme="majorBidi" w:cstheme="majorBidi"/>
          <w:color w:val="000000" w:themeColor="text1"/>
          <w:sz w:val="20"/>
          <w:szCs w:val="20"/>
          <w:lang w:val="en-GB"/>
        </w:rPr>
        <w:t xml:space="preserve"> </w:t>
      </w:r>
      <w:r w:rsidR="00CA4BC8" w:rsidRPr="00CA4BC8">
        <w:rPr>
          <w:rFonts w:asciiTheme="majorBidi" w:hAnsiTheme="majorBidi" w:cstheme="majorBidi"/>
          <w:color w:val="000000" w:themeColor="text1"/>
          <w:sz w:val="20"/>
          <w:szCs w:val="20"/>
          <w:lang w:val="en-GB"/>
        </w:rPr>
        <w:t xml:space="preserve">Ricardo Costa </w:t>
      </w:r>
      <w:r w:rsidR="00CA4BC8" w:rsidRPr="00CA4BC8">
        <w:rPr>
          <w:rFonts w:asciiTheme="majorBidi" w:hAnsiTheme="majorBidi" w:cstheme="majorBidi"/>
          <w:i/>
          <w:iCs/>
          <w:color w:val="000000" w:themeColor="text1"/>
          <w:sz w:val="20"/>
          <w:szCs w:val="20"/>
          <w:lang w:val="en-GB"/>
        </w:rPr>
        <w:t>et al.</w:t>
      </w:r>
      <w:r w:rsidR="00CA4BC8" w:rsidRPr="00CA4BC8">
        <w:rPr>
          <w:rFonts w:asciiTheme="majorBidi" w:hAnsiTheme="majorBidi" w:cstheme="majorBidi"/>
          <w:color w:val="000000" w:themeColor="text1"/>
          <w:sz w:val="20"/>
          <w:szCs w:val="20"/>
          <w:lang w:val="en-GB"/>
        </w:rPr>
        <w:t xml:space="preserve"> (eds), </w:t>
      </w:r>
      <w:r w:rsidRPr="00CA4BC8">
        <w:rPr>
          <w:rFonts w:asciiTheme="majorBidi" w:hAnsiTheme="majorBidi" w:cstheme="majorBidi"/>
          <w:i/>
          <w:color w:val="000000" w:themeColor="text1"/>
          <w:sz w:val="20"/>
          <w:szCs w:val="20"/>
          <w:lang w:val="en-GB"/>
        </w:rPr>
        <w:t xml:space="preserve">Diálogos com Coutinho de Abreu, Estudos oferecidos no Aniversário do Professor </w:t>
      </w:r>
      <w:r w:rsidR="00CA4BC8" w:rsidRPr="00CA4BC8">
        <w:rPr>
          <w:rFonts w:asciiTheme="majorBidi" w:hAnsiTheme="majorBidi" w:cstheme="majorBidi"/>
          <w:iCs/>
          <w:color w:val="000000" w:themeColor="text1"/>
          <w:sz w:val="20"/>
          <w:szCs w:val="20"/>
          <w:lang w:val="en-GB"/>
        </w:rPr>
        <w:t>(</w:t>
      </w:r>
      <w:r w:rsidRPr="00CA4BC8">
        <w:rPr>
          <w:rFonts w:asciiTheme="majorBidi" w:hAnsiTheme="majorBidi" w:cstheme="majorBidi"/>
          <w:color w:val="000000" w:themeColor="text1"/>
          <w:sz w:val="20"/>
          <w:szCs w:val="20"/>
          <w:lang w:val="en-GB"/>
        </w:rPr>
        <w:t>Edições Almedina, 2020</w:t>
      </w:r>
      <w:r w:rsidR="00CA4BC8" w:rsidRPr="00CA4BC8">
        <w:rPr>
          <w:rFonts w:asciiTheme="majorBidi" w:hAnsiTheme="majorBidi" w:cstheme="majorBidi"/>
          <w:color w:val="000000" w:themeColor="text1"/>
          <w:sz w:val="20"/>
          <w:szCs w:val="20"/>
          <w:lang w:val="en-GB"/>
        </w:rPr>
        <w:t>)</w:t>
      </w:r>
      <w:r w:rsidRPr="00CA4BC8">
        <w:rPr>
          <w:rFonts w:asciiTheme="majorBidi" w:hAnsiTheme="majorBidi" w:cstheme="majorBidi"/>
          <w:color w:val="000000" w:themeColor="text1"/>
          <w:sz w:val="20"/>
          <w:szCs w:val="20"/>
          <w:lang w:val="en-GB"/>
        </w:rPr>
        <w:t xml:space="preserve">, 167-192; </w:t>
      </w:r>
      <w:r w:rsidR="003D38CA" w:rsidRPr="00CA4BC8">
        <w:rPr>
          <w:rFonts w:asciiTheme="majorBidi" w:hAnsiTheme="majorBidi" w:cstheme="majorBidi"/>
          <w:color w:val="000000" w:themeColor="text1"/>
          <w:sz w:val="20"/>
          <w:szCs w:val="20"/>
          <w:lang w:val="en-GB"/>
        </w:rPr>
        <w:t>Giorgio Corno, ‘Article 19 – Duties of Directors’,</w:t>
      </w:r>
      <w:r w:rsidR="00CA4BC8" w:rsidRPr="00CA4BC8">
        <w:rPr>
          <w:rFonts w:asciiTheme="majorBidi" w:hAnsiTheme="majorBidi" w:cstheme="majorBidi"/>
          <w:color w:val="000000" w:themeColor="text1"/>
          <w:sz w:val="20"/>
          <w:szCs w:val="20"/>
          <w:lang w:val="en-GB"/>
        </w:rPr>
        <w:t xml:space="preserve"> in</w:t>
      </w:r>
      <w:r w:rsidR="003D38CA" w:rsidRPr="00CA4BC8">
        <w:rPr>
          <w:rFonts w:asciiTheme="majorBidi" w:hAnsiTheme="majorBidi" w:cstheme="majorBidi"/>
          <w:color w:val="000000" w:themeColor="text1"/>
          <w:sz w:val="20"/>
          <w:szCs w:val="20"/>
          <w:lang w:val="en-GB"/>
        </w:rPr>
        <w:t xml:space="preserve"> </w:t>
      </w:r>
      <w:r w:rsidR="00CA4BC8" w:rsidRPr="00CA4BC8">
        <w:rPr>
          <w:rFonts w:asciiTheme="majorBidi" w:hAnsiTheme="majorBidi" w:cstheme="majorBidi"/>
          <w:color w:val="000000" w:themeColor="text1"/>
          <w:sz w:val="20"/>
          <w:szCs w:val="20"/>
          <w:lang w:val="en-GB"/>
        </w:rPr>
        <w:t xml:space="preserve">Christoph Paulus and Reinhard Dammann (eds), </w:t>
      </w:r>
      <w:r w:rsidR="003D38CA" w:rsidRPr="00CA4BC8">
        <w:rPr>
          <w:rFonts w:asciiTheme="majorBidi" w:hAnsiTheme="majorBidi" w:cstheme="majorBidi"/>
          <w:i/>
          <w:color w:val="000000" w:themeColor="text1"/>
          <w:sz w:val="20"/>
          <w:szCs w:val="20"/>
          <w:lang w:val="en-GB"/>
        </w:rPr>
        <w:t>European Preventive Restructuring, Directive (EU) 2019/1023, Article-by-Article Commentary</w:t>
      </w:r>
      <w:r w:rsidR="003D38CA" w:rsidRPr="00CA4BC8">
        <w:rPr>
          <w:rFonts w:asciiTheme="majorBidi" w:hAnsiTheme="majorBidi" w:cstheme="majorBidi"/>
          <w:color w:val="000000" w:themeColor="text1"/>
          <w:sz w:val="20"/>
          <w:szCs w:val="20"/>
          <w:lang w:val="en-GB"/>
        </w:rPr>
        <w:t xml:space="preserve"> </w:t>
      </w:r>
      <w:r w:rsidR="00CA4BC8" w:rsidRPr="00CA4BC8">
        <w:rPr>
          <w:rFonts w:asciiTheme="majorBidi" w:hAnsiTheme="majorBidi" w:cstheme="majorBidi"/>
          <w:color w:val="000000" w:themeColor="text1"/>
          <w:sz w:val="20"/>
          <w:szCs w:val="20"/>
          <w:lang w:val="en-GB"/>
        </w:rPr>
        <w:t>(</w:t>
      </w:r>
      <w:r w:rsidR="003D38CA" w:rsidRPr="00CA4BC8">
        <w:rPr>
          <w:rFonts w:asciiTheme="majorBidi" w:hAnsiTheme="majorBidi" w:cstheme="majorBidi"/>
          <w:color w:val="000000" w:themeColor="text1"/>
          <w:sz w:val="20"/>
          <w:szCs w:val="20"/>
          <w:lang w:val="en-GB"/>
        </w:rPr>
        <w:t>CH Beck, 2021</w:t>
      </w:r>
      <w:r w:rsidR="00CA4BC8" w:rsidRPr="00CA4BC8">
        <w:rPr>
          <w:rFonts w:asciiTheme="majorBidi" w:hAnsiTheme="majorBidi" w:cstheme="majorBidi"/>
          <w:color w:val="000000" w:themeColor="text1"/>
          <w:sz w:val="20"/>
          <w:szCs w:val="20"/>
          <w:lang w:val="en-GB"/>
        </w:rPr>
        <w:t>)</w:t>
      </w:r>
      <w:r w:rsidR="003D38CA" w:rsidRPr="00CA4BC8">
        <w:rPr>
          <w:rFonts w:asciiTheme="majorBidi" w:hAnsiTheme="majorBidi" w:cstheme="majorBidi"/>
          <w:color w:val="000000" w:themeColor="text1"/>
          <w:sz w:val="20"/>
          <w:szCs w:val="20"/>
          <w:lang w:val="en-GB"/>
        </w:rPr>
        <w:t xml:space="preserve">, 238-248; </w:t>
      </w:r>
      <w:r w:rsidRPr="00CA4BC8">
        <w:rPr>
          <w:rFonts w:asciiTheme="majorBidi" w:hAnsiTheme="majorBidi" w:cstheme="majorBidi"/>
          <w:color w:val="000000" w:themeColor="text1"/>
          <w:sz w:val="20"/>
          <w:szCs w:val="20"/>
          <w:lang w:val="en-GB"/>
        </w:rPr>
        <w:t xml:space="preserve">José Gonçalves Machado, </w:t>
      </w:r>
      <w:r w:rsidR="003D38CA" w:rsidRPr="00CA4BC8">
        <w:rPr>
          <w:rFonts w:asciiTheme="majorBidi" w:hAnsiTheme="majorBidi" w:cstheme="majorBidi"/>
          <w:i/>
          <w:iCs/>
          <w:color w:val="000000" w:themeColor="text1"/>
          <w:sz w:val="20"/>
          <w:szCs w:val="20"/>
          <w:lang w:val="en-GB"/>
        </w:rPr>
        <w:t xml:space="preserve">Reflexões sobre a Conduta Devida dos Gestores na Pré-Insolvência </w:t>
      </w:r>
      <w:r w:rsidR="00CA4BC8" w:rsidRPr="00CA4BC8">
        <w:rPr>
          <w:rFonts w:asciiTheme="majorBidi" w:hAnsiTheme="majorBidi" w:cstheme="majorBidi"/>
          <w:color w:val="000000" w:themeColor="text1"/>
          <w:sz w:val="20"/>
          <w:szCs w:val="20"/>
          <w:lang w:val="en-GB"/>
        </w:rPr>
        <w:t>(</w:t>
      </w:r>
      <w:r w:rsidR="00A3355D" w:rsidRPr="00CA4BC8">
        <w:rPr>
          <w:rFonts w:asciiTheme="majorBidi" w:hAnsiTheme="majorBidi" w:cstheme="majorBidi"/>
          <w:color w:val="000000" w:themeColor="text1"/>
          <w:sz w:val="20"/>
          <w:szCs w:val="20"/>
          <w:lang w:val="en-GB"/>
        </w:rPr>
        <w:t xml:space="preserve">Edições </w:t>
      </w:r>
      <w:r w:rsidR="003D38CA" w:rsidRPr="00CA4BC8">
        <w:rPr>
          <w:rFonts w:asciiTheme="majorBidi" w:hAnsiTheme="majorBidi" w:cstheme="majorBidi"/>
          <w:color w:val="000000" w:themeColor="text1"/>
          <w:sz w:val="20"/>
          <w:szCs w:val="20"/>
          <w:lang w:val="en-GB"/>
        </w:rPr>
        <w:t>Almedina, 2024</w:t>
      </w:r>
      <w:r w:rsidR="00CA4BC8" w:rsidRPr="00CA4BC8">
        <w:rPr>
          <w:rFonts w:asciiTheme="majorBidi" w:hAnsiTheme="majorBidi" w:cstheme="majorBidi"/>
          <w:color w:val="000000" w:themeColor="text1"/>
          <w:sz w:val="20"/>
          <w:szCs w:val="20"/>
          <w:lang w:val="en-GB"/>
        </w:rPr>
        <w:t>)</w:t>
      </w:r>
      <w:r w:rsidR="003D38CA" w:rsidRPr="00CA4BC8">
        <w:rPr>
          <w:rFonts w:asciiTheme="majorBidi" w:hAnsiTheme="majorBidi" w:cstheme="majorBidi"/>
          <w:color w:val="000000" w:themeColor="text1"/>
          <w:sz w:val="20"/>
          <w:szCs w:val="20"/>
          <w:lang w:val="en-GB"/>
        </w:rPr>
        <w:t>, 27 e</w:t>
      </w:r>
      <w:r w:rsidR="00CA4BC8" w:rsidRPr="00CA4BC8">
        <w:rPr>
          <w:rFonts w:asciiTheme="majorBidi" w:hAnsiTheme="majorBidi" w:cstheme="majorBidi"/>
          <w:color w:val="000000" w:themeColor="text1"/>
          <w:sz w:val="20"/>
          <w:szCs w:val="20"/>
          <w:lang w:val="en-GB"/>
        </w:rPr>
        <w:t>t seq</w:t>
      </w:r>
      <w:r w:rsidR="003D38CA" w:rsidRPr="00CA4BC8">
        <w:rPr>
          <w:rFonts w:asciiTheme="majorBidi" w:hAnsiTheme="majorBidi" w:cstheme="majorBidi"/>
          <w:color w:val="000000" w:themeColor="text1"/>
          <w:sz w:val="20"/>
          <w:szCs w:val="20"/>
          <w:lang w:val="en-GB"/>
        </w:rPr>
        <w:t>.</w:t>
      </w:r>
    </w:p>
  </w:footnote>
  <w:footnote w:id="2">
    <w:p w14:paraId="1536444A" w14:textId="3F8ACF43" w:rsidR="003D38CA" w:rsidRPr="00CA4BC8" w:rsidRDefault="003D38CA" w:rsidP="00CA4BC8">
      <w:pPr>
        <w:spacing w:after="0" w:line="240" w:lineRule="auto"/>
        <w:jc w:val="both"/>
        <w:rPr>
          <w:rFonts w:asciiTheme="majorBidi" w:hAnsiTheme="majorBidi" w:cstheme="majorBidi"/>
          <w:sz w:val="20"/>
          <w:szCs w:val="20"/>
          <w:lang w:val="en-GB"/>
        </w:rPr>
      </w:pPr>
      <w:r w:rsidRPr="00CA4BC8">
        <w:rPr>
          <w:rStyle w:val="FootnoteReference"/>
          <w:rFonts w:asciiTheme="majorBidi" w:hAnsiTheme="majorBidi" w:cstheme="majorBidi"/>
          <w:sz w:val="20"/>
          <w:szCs w:val="20"/>
          <w:lang w:val="en-GB"/>
        </w:rPr>
        <w:footnoteRef/>
      </w:r>
      <w:r w:rsidRPr="00CA4BC8">
        <w:rPr>
          <w:rFonts w:asciiTheme="majorBidi" w:hAnsiTheme="majorBidi" w:cstheme="majorBidi"/>
          <w:sz w:val="20"/>
          <w:szCs w:val="20"/>
          <w:lang w:val="en-GB"/>
        </w:rPr>
        <w:t xml:space="preserve"> </w:t>
      </w:r>
      <w:r w:rsidR="00E4063F" w:rsidRPr="00CA4BC8">
        <w:rPr>
          <w:rFonts w:asciiTheme="majorBidi" w:hAnsiTheme="majorBidi" w:cstheme="majorBidi"/>
          <w:sz w:val="20"/>
          <w:szCs w:val="20"/>
          <w:lang w:val="en-GB"/>
        </w:rPr>
        <w:t xml:space="preserve">See </w:t>
      </w:r>
      <w:r w:rsidR="00E4063F" w:rsidRPr="00CA4BC8">
        <w:rPr>
          <w:rFonts w:asciiTheme="majorBidi" w:hAnsiTheme="majorBidi" w:cstheme="majorBidi"/>
          <w:color w:val="000000" w:themeColor="text1"/>
          <w:sz w:val="20"/>
          <w:szCs w:val="20"/>
          <w:lang w:val="en-GB"/>
        </w:rPr>
        <w:t>Gonçalves Machado</w:t>
      </w:r>
      <w:r w:rsidR="00CA4BC8" w:rsidRPr="00CA4BC8">
        <w:rPr>
          <w:rFonts w:asciiTheme="majorBidi" w:hAnsiTheme="majorBidi" w:cstheme="majorBidi"/>
          <w:color w:val="000000" w:themeColor="text1"/>
          <w:sz w:val="20"/>
          <w:szCs w:val="20"/>
          <w:lang w:val="en-GB"/>
        </w:rPr>
        <w:t xml:space="preserve"> (above note 1)</w:t>
      </w:r>
      <w:r w:rsidR="00E4063F" w:rsidRPr="00CA4BC8">
        <w:rPr>
          <w:rFonts w:asciiTheme="majorBidi" w:hAnsiTheme="majorBidi" w:cstheme="majorBidi"/>
          <w:color w:val="000000" w:themeColor="text1"/>
          <w:sz w:val="20"/>
          <w:szCs w:val="20"/>
          <w:lang w:val="en-GB"/>
        </w:rPr>
        <w:t>, 143 e</w:t>
      </w:r>
      <w:r w:rsidR="00CA4BC8" w:rsidRPr="00CA4BC8">
        <w:rPr>
          <w:rFonts w:asciiTheme="majorBidi" w:hAnsiTheme="majorBidi" w:cstheme="majorBidi"/>
          <w:color w:val="000000" w:themeColor="text1"/>
          <w:sz w:val="20"/>
          <w:szCs w:val="20"/>
          <w:lang w:val="en-GB"/>
        </w:rPr>
        <w:t>t</w:t>
      </w:r>
      <w:r w:rsidR="00E4063F" w:rsidRPr="00CA4BC8">
        <w:rPr>
          <w:rFonts w:asciiTheme="majorBidi" w:hAnsiTheme="majorBidi" w:cstheme="majorBidi"/>
          <w:color w:val="000000" w:themeColor="text1"/>
          <w:sz w:val="20"/>
          <w:szCs w:val="20"/>
          <w:lang w:val="en-GB"/>
        </w:rPr>
        <w:t xml:space="preserve"> s</w:t>
      </w:r>
      <w:r w:rsidR="00CA4BC8" w:rsidRPr="00CA4BC8">
        <w:rPr>
          <w:rFonts w:asciiTheme="majorBidi" w:hAnsiTheme="majorBidi" w:cstheme="majorBidi"/>
          <w:color w:val="000000" w:themeColor="text1"/>
          <w:sz w:val="20"/>
          <w:szCs w:val="20"/>
          <w:lang w:val="en-GB"/>
        </w:rPr>
        <w:t>eq</w:t>
      </w:r>
      <w:r w:rsidR="00E4063F" w:rsidRPr="00CA4BC8">
        <w:rPr>
          <w:rFonts w:asciiTheme="majorBidi" w:hAnsiTheme="majorBidi" w:cstheme="majorBidi"/>
          <w:color w:val="000000" w:themeColor="text1"/>
          <w:sz w:val="20"/>
          <w:szCs w:val="20"/>
          <w:lang w:val="en-GB"/>
        </w:rPr>
        <w:t xml:space="preserve">; Martijn Hesselink </w:t>
      </w:r>
      <w:r w:rsidR="00CA4BC8" w:rsidRPr="00CA4BC8">
        <w:rPr>
          <w:rFonts w:asciiTheme="majorBidi" w:hAnsiTheme="majorBidi" w:cstheme="majorBidi"/>
          <w:color w:val="000000" w:themeColor="text1"/>
          <w:sz w:val="20"/>
          <w:szCs w:val="20"/>
          <w:lang w:val="en-GB"/>
        </w:rPr>
        <w:t>and</w:t>
      </w:r>
      <w:r w:rsidR="00E4063F" w:rsidRPr="00CA4BC8">
        <w:rPr>
          <w:rFonts w:asciiTheme="majorBidi" w:hAnsiTheme="majorBidi" w:cstheme="majorBidi"/>
          <w:color w:val="000000" w:themeColor="text1"/>
          <w:sz w:val="20"/>
          <w:szCs w:val="20"/>
          <w:lang w:val="en-GB"/>
        </w:rPr>
        <w:t xml:space="preserve"> Gerard de Vries, </w:t>
      </w:r>
      <w:r w:rsidR="00E4063F" w:rsidRPr="00CA4BC8">
        <w:rPr>
          <w:rFonts w:asciiTheme="majorBidi" w:hAnsiTheme="majorBidi" w:cstheme="majorBidi"/>
          <w:i/>
          <w:color w:val="000000" w:themeColor="text1"/>
          <w:sz w:val="20"/>
          <w:szCs w:val="20"/>
          <w:lang w:val="en-GB"/>
        </w:rPr>
        <w:t>Principles of European Contract Law</w:t>
      </w:r>
      <w:r w:rsidR="00E4063F" w:rsidRPr="00CA4BC8">
        <w:rPr>
          <w:rFonts w:asciiTheme="majorBidi" w:hAnsiTheme="majorBidi" w:cstheme="majorBidi"/>
          <w:color w:val="000000" w:themeColor="text1"/>
          <w:sz w:val="20"/>
          <w:szCs w:val="20"/>
          <w:lang w:val="en-GB"/>
        </w:rPr>
        <w:t xml:space="preserve"> </w:t>
      </w:r>
      <w:r w:rsidR="00CA4BC8" w:rsidRPr="00CA4BC8">
        <w:rPr>
          <w:rFonts w:asciiTheme="majorBidi" w:hAnsiTheme="majorBidi" w:cstheme="majorBidi"/>
          <w:color w:val="000000" w:themeColor="text1"/>
          <w:sz w:val="20"/>
          <w:szCs w:val="20"/>
          <w:lang w:val="en-GB"/>
        </w:rPr>
        <w:t>(</w:t>
      </w:r>
      <w:r w:rsidR="00E4063F" w:rsidRPr="00CA4BC8">
        <w:rPr>
          <w:rFonts w:asciiTheme="majorBidi" w:hAnsiTheme="majorBidi" w:cstheme="majorBidi"/>
          <w:color w:val="000000" w:themeColor="text1"/>
          <w:sz w:val="20"/>
          <w:szCs w:val="20"/>
          <w:lang w:val="en-GB"/>
        </w:rPr>
        <w:t>Kluwer, 2001</w:t>
      </w:r>
      <w:r w:rsidR="00CA4BC8" w:rsidRPr="00CA4BC8">
        <w:rPr>
          <w:rFonts w:asciiTheme="majorBidi" w:hAnsiTheme="majorBidi" w:cstheme="majorBidi"/>
          <w:color w:val="000000" w:themeColor="text1"/>
          <w:sz w:val="20"/>
          <w:szCs w:val="20"/>
          <w:lang w:val="en-GB"/>
        </w:rPr>
        <w:t>)</w:t>
      </w:r>
      <w:r w:rsidR="00E4063F" w:rsidRPr="00CA4BC8">
        <w:rPr>
          <w:rFonts w:asciiTheme="majorBidi" w:hAnsiTheme="majorBidi" w:cstheme="majorBidi"/>
          <w:color w:val="000000" w:themeColor="text1"/>
          <w:sz w:val="20"/>
          <w:szCs w:val="20"/>
          <w:lang w:val="en-GB"/>
        </w:rPr>
        <w:t xml:space="preserve">, 55; </w:t>
      </w:r>
      <w:r w:rsidR="00E4063F" w:rsidRPr="00CA4BC8">
        <w:rPr>
          <w:rStyle w:val="jlqj4b"/>
          <w:rFonts w:asciiTheme="majorBidi" w:hAnsiTheme="majorBidi" w:cstheme="majorBidi"/>
          <w:color w:val="000000" w:themeColor="text1"/>
          <w:sz w:val="20"/>
          <w:szCs w:val="20"/>
          <w:lang w:val="en-GB"/>
        </w:rPr>
        <w:t>Nuno Manuel Pinto Oliveira, ‘</w:t>
      </w:r>
      <w:r w:rsidR="00E4063F" w:rsidRPr="00CA4BC8">
        <w:rPr>
          <w:rFonts w:asciiTheme="majorBidi" w:hAnsiTheme="majorBidi" w:cstheme="majorBidi"/>
          <w:color w:val="000000" w:themeColor="text1"/>
          <w:sz w:val="20"/>
          <w:szCs w:val="20"/>
          <w:lang w:val="en-GB"/>
        </w:rPr>
        <w:t xml:space="preserve">Entre código da insolvência e </w:t>
      </w:r>
      <w:r w:rsidR="004A3AC1">
        <w:rPr>
          <w:rFonts w:asciiTheme="majorBidi" w:hAnsiTheme="majorBidi" w:cstheme="majorBidi"/>
          <w:color w:val="000000" w:themeColor="text1"/>
          <w:sz w:val="20"/>
          <w:szCs w:val="20"/>
          <w:lang w:val="en-GB"/>
        </w:rPr>
        <w:t>‘</w:t>
      </w:r>
      <w:r w:rsidR="00E4063F" w:rsidRPr="00CA4BC8">
        <w:rPr>
          <w:rFonts w:asciiTheme="majorBidi" w:hAnsiTheme="majorBidi" w:cstheme="majorBidi"/>
          <w:color w:val="000000" w:themeColor="text1"/>
          <w:sz w:val="20"/>
          <w:szCs w:val="20"/>
          <w:lang w:val="en-GB"/>
        </w:rPr>
        <w:t>Princípios Orientadores’ um dever de (re)negociação?’</w:t>
      </w:r>
      <w:r w:rsidR="00CA4BC8" w:rsidRPr="00CA4BC8">
        <w:rPr>
          <w:rFonts w:asciiTheme="majorBidi" w:hAnsiTheme="majorBidi" w:cstheme="majorBidi"/>
          <w:color w:val="000000" w:themeColor="text1"/>
          <w:sz w:val="20"/>
          <w:szCs w:val="20"/>
          <w:lang w:val="en-GB"/>
        </w:rPr>
        <w:t xml:space="preserve"> (2012)</w:t>
      </w:r>
      <w:r w:rsidR="00A3355D">
        <w:rPr>
          <w:rFonts w:asciiTheme="majorBidi" w:hAnsiTheme="majorBidi" w:cstheme="majorBidi"/>
          <w:color w:val="000000" w:themeColor="text1"/>
          <w:sz w:val="20"/>
          <w:szCs w:val="20"/>
          <w:lang w:val="en-GB"/>
        </w:rPr>
        <w:t xml:space="preserve"> 71(II/III)</w:t>
      </w:r>
      <w:r w:rsidR="00E4063F" w:rsidRPr="00CA4BC8">
        <w:rPr>
          <w:rFonts w:asciiTheme="majorBidi" w:hAnsiTheme="majorBidi" w:cstheme="majorBidi"/>
          <w:color w:val="000000" w:themeColor="text1"/>
          <w:sz w:val="20"/>
          <w:szCs w:val="20"/>
          <w:lang w:val="en-GB"/>
        </w:rPr>
        <w:t xml:space="preserve"> </w:t>
      </w:r>
      <w:r w:rsidR="00E4063F" w:rsidRPr="00CA4BC8">
        <w:rPr>
          <w:rFonts w:asciiTheme="majorBidi" w:hAnsiTheme="majorBidi" w:cstheme="majorBidi"/>
          <w:i/>
          <w:color w:val="000000" w:themeColor="text1"/>
          <w:sz w:val="20"/>
          <w:szCs w:val="20"/>
          <w:lang w:val="en-GB"/>
        </w:rPr>
        <w:t>Revista da Ordem dos Advogados</w:t>
      </w:r>
      <w:r w:rsidR="00A3355D">
        <w:rPr>
          <w:rFonts w:asciiTheme="majorBidi" w:hAnsiTheme="majorBidi" w:cstheme="majorBidi"/>
          <w:color w:val="000000" w:themeColor="text1"/>
          <w:sz w:val="20"/>
          <w:szCs w:val="20"/>
          <w:lang w:val="en-GB"/>
        </w:rPr>
        <w:t xml:space="preserve"> </w:t>
      </w:r>
      <w:r w:rsidR="00E4063F" w:rsidRPr="00CA4BC8">
        <w:rPr>
          <w:rFonts w:asciiTheme="majorBidi" w:hAnsiTheme="majorBidi" w:cstheme="majorBidi"/>
          <w:color w:val="000000" w:themeColor="text1"/>
          <w:sz w:val="20"/>
          <w:szCs w:val="20"/>
          <w:lang w:val="en-GB"/>
        </w:rPr>
        <w:t>679-682.</w:t>
      </w:r>
    </w:p>
  </w:footnote>
  <w:footnote w:id="3">
    <w:p w14:paraId="43C07B40" w14:textId="052A4407" w:rsidR="003D38CA" w:rsidRPr="00CA4BC8" w:rsidRDefault="003D38CA" w:rsidP="00CA4BC8">
      <w:pPr>
        <w:pStyle w:val="FootnoteText"/>
        <w:jc w:val="both"/>
        <w:rPr>
          <w:rFonts w:asciiTheme="majorBidi" w:hAnsiTheme="majorBidi" w:cstheme="majorBidi"/>
          <w:lang w:val="en-GB"/>
        </w:rPr>
      </w:pPr>
      <w:r w:rsidRPr="00CA4BC8">
        <w:rPr>
          <w:rStyle w:val="FootnoteReference"/>
          <w:rFonts w:asciiTheme="majorBidi" w:hAnsiTheme="majorBidi" w:cstheme="majorBidi"/>
          <w:lang w:val="en-GB"/>
        </w:rPr>
        <w:footnoteRef/>
      </w:r>
      <w:r w:rsidRPr="00CA4BC8">
        <w:rPr>
          <w:rFonts w:asciiTheme="majorBidi" w:hAnsiTheme="majorBidi" w:cstheme="majorBidi"/>
          <w:lang w:val="en-GB"/>
        </w:rPr>
        <w:t xml:space="preserve"> See Cristina Guerrero Trevijano, ‘La regla de protección de la discrecionalidad empresarial en la proximidad a la insolvencia’, </w:t>
      </w:r>
      <w:r w:rsidR="00CA4BC8" w:rsidRPr="00CA4BC8">
        <w:rPr>
          <w:rFonts w:asciiTheme="majorBidi" w:hAnsiTheme="majorBidi" w:cstheme="majorBidi"/>
          <w:lang w:val="en-GB"/>
        </w:rPr>
        <w:t xml:space="preserve">in Juana Pulgar Ezquerra (ed), </w:t>
      </w:r>
      <w:r w:rsidRPr="00CA4BC8">
        <w:rPr>
          <w:rFonts w:asciiTheme="majorBidi" w:hAnsiTheme="majorBidi" w:cstheme="majorBidi"/>
          <w:i/>
          <w:iCs/>
          <w:lang w:val="en-GB"/>
        </w:rPr>
        <w:t xml:space="preserve">Reestructuración y Gobierno Corporativo en la proximidad de la insolvencia </w:t>
      </w:r>
      <w:r w:rsidR="00CA4BC8" w:rsidRPr="00CA4BC8">
        <w:rPr>
          <w:rFonts w:asciiTheme="majorBidi" w:hAnsiTheme="majorBidi" w:cstheme="majorBidi"/>
          <w:lang w:val="en-GB"/>
        </w:rPr>
        <w:t>(</w:t>
      </w:r>
      <w:r w:rsidRPr="00CA4BC8">
        <w:rPr>
          <w:rFonts w:asciiTheme="majorBidi" w:hAnsiTheme="majorBidi" w:cstheme="majorBidi"/>
          <w:lang w:val="en-GB"/>
        </w:rPr>
        <w:t>La Ley</w:t>
      </w:r>
      <w:r w:rsidR="00CA4BC8" w:rsidRPr="00CA4BC8">
        <w:rPr>
          <w:rFonts w:asciiTheme="majorBidi" w:hAnsiTheme="majorBidi" w:cstheme="majorBidi"/>
          <w:lang w:val="en-GB"/>
        </w:rPr>
        <w:t>/</w:t>
      </w:r>
      <w:r w:rsidRPr="00CA4BC8">
        <w:rPr>
          <w:rFonts w:asciiTheme="majorBidi" w:hAnsiTheme="majorBidi" w:cstheme="majorBidi"/>
          <w:lang w:val="en-GB"/>
        </w:rPr>
        <w:t>Wolters Kluwer, 2020</w:t>
      </w:r>
      <w:r w:rsidR="00CA4BC8" w:rsidRPr="00CA4BC8">
        <w:rPr>
          <w:rFonts w:asciiTheme="majorBidi" w:hAnsiTheme="majorBidi" w:cstheme="majorBidi"/>
          <w:lang w:val="en-GB"/>
        </w:rPr>
        <w:t>)</w:t>
      </w:r>
      <w:r w:rsidRPr="00CA4BC8">
        <w:rPr>
          <w:rFonts w:asciiTheme="majorBidi" w:hAnsiTheme="majorBidi" w:cstheme="majorBidi"/>
          <w:lang w:val="en-GB"/>
        </w:rPr>
        <w:t>, 235-280.</w:t>
      </w:r>
    </w:p>
  </w:footnote>
  <w:footnote w:id="4">
    <w:p w14:paraId="0EA84786" w14:textId="4B3E093E" w:rsidR="003D38CA" w:rsidRPr="00CA4BC8" w:rsidRDefault="003D38CA" w:rsidP="00CA4BC8">
      <w:pPr>
        <w:pStyle w:val="FootnoteText"/>
        <w:jc w:val="both"/>
        <w:rPr>
          <w:rFonts w:asciiTheme="majorBidi" w:hAnsiTheme="majorBidi" w:cstheme="majorBidi"/>
          <w:lang w:val="en-GB"/>
        </w:rPr>
      </w:pPr>
      <w:r w:rsidRPr="00CA4BC8">
        <w:rPr>
          <w:rStyle w:val="FootnoteReference"/>
          <w:rFonts w:asciiTheme="majorBidi" w:hAnsiTheme="majorBidi" w:cstheme="majorBidi"/>
          <w:lang w:val="en-GB"/>
        </w:rPr>
        <w:footnoteRef/>
      </w:r>
      <w:r w:rsidRPr="00CA4BC8">
        <w:rPr>
          <w:rFonts w:asciiTheme="majorBidi" w:hAnsiTheme="majorBidi" w:cstheme="majorBidi"/>
          <w:lang w:val="en-GB"/>
        </w:rPr>
        <w:t xml:space="preserve"> See Karsten Schmidt, </w:t>
      </w:r>
      <w:r w:rsidRPr="00CA4BC8">
        <w:rPr>
          <w:rFonts w:asciiTheme="majorBidi" w:hAnsiTheme="majorBidi" w:cstheme="majorBidi"/>
          <w:i/>
          <w:iCs/>
          <w:lang w:val="en-GB"/>
        </w:rPr>
        <w:t xml:space="preserve">Möglichkeiten der Sanierung von Unternehmen durch Maßnahmen im Unternehmens, Arbeits-, Sozial- und Insolvenzrecht </w:t>
      </w:r>
      <w:r w:rsidR="00CA4BC8" w:rsidRPr="00CA4BC8">
        <w:rPr>
          <w:rFonts w:asciiTheme="majorBidi" w:hAnsiTheme="majorBidi" w:cstheme="majorBidi"/>
          <w:lang w:val="en-GB"/>
        </w:rPr>
        <w:t>(</w:t>
      </w:r>
      <w:r w:rsidRPr="00CA4BC8">
        <w:rPr>
          <w:rFonts w:asciiTheme="majorBidi" w:hAnsiTheme="majorBidi" w:cstheme="majorBidi"/>
          <w:lang w:val="en-GB"/>
        </w:rPr>
        <w:t>CH Beck, 1982</w:t>
      </w:r>
      <w:r w:rsidR="00CA4BC8" w:rsidRPr="00CA4BC8">
        <w:rPr>
          <w:rFonts w:asciiTheme="majorBidi" w:hAnsiTheme="majorBidi" w:cstheme="majorBidi"/>
          <w:lang w:val="en-GB"/>
        </w:rPr>
        <w:t>)</w:t>
      </w:r>
      <w:r w:rsidRPr="00CA4BC8">
        <w:rPr>
          <w:rFonts w:asciiTheme="majorBidi" w:hAnsiTheme="majorBidi" w:cstheme="majorBidi"/>
          <w:lang w:val="en-GB"/>
        </w:rPr>
        <w:t>, 75-76.</w:t>
      </w:r>
    </w:p>
  </w:footnote>
  <w:footnote w:id="5">
    <w:p w14:paraId="36DFD5C8" w14:textId="735F7BCC" w:rsidR="00E4063F" w:rsidRPr="00CA4BC8" w:rsidRDefault="00E4063F" w:rsidP="00CA4BC8">
      <w:pPr>
        <w:pStyle w:val="FootnoteText"/>
        <w:jc w:val="both"/>
        <w:rPr>
          <w:rFonts w:asciiTheme="majorBidi" w:hAnsiTheme="majorBidi" w:cstheme="majorBidi"/>
          <w:lang w:val="en-GB"/>
        </w:rPr>
      </w:pPr>
      <w:r w:rsidRPr="00CA4BC8">
        <w:rPr>
          <w:rStyle w:val="FootnoteReference"/>
          <w:rFonts w:asciiTheme="majorBidi" w:hAnsiTheme="majorBidi" w:cstheme="majorBidi"/>
          <w:lang w:val="en-GB"/>
        </w:rPr>
        <w:footnoteRef/>
      </w:r>
      <w:r w:rsidRPr="00CA4BC8">
        <w:rPr>
          <w:rFonts w:asciiTheme="majorBidi" w:hAnsiTheme="majorBidi" w:cstheme="majorBidi"/>
          <w:lang w:val="en-GB"/>
        </w:rPr>
        <w:t xml:space="preserve"> See </w:t>
      </w:r>
      <w:r w:rsidRPr="00CA4BC8">
        <w:rPr>
          <w:rFonts w:asciiTheme="majorBidi" w:hAnsiTheme="majorBidi" w:cstheme="majorBidi"/>
          <w:color w:val="000000" w:themeColor="text1"/>
          <w:lang w:val="en-GB"/>
        </w:rPr>
        <w:t xml:space="preserve">Andrew Keay, ‘Directors Negotiating and Contracting in the Wake of </w:t>
      </w:r>
      <w:r w:rsidR="00A3355D">
        <w:rPr>
          <w:rFonts w:asciiTheme="majorBidi" w:hAnsiTheme="majorBidi" w:cstheme="majorBidi"/>
          <w:color w:val="000000" w:themeColor="text1"/>
          <w:lang w:val="en-GB"/>
        </w:rPr>
        <w:t>t</w:t>
      </w:r>
      <w:r w:rsidRPr="00CA4BC8">
        <w:rPr>
          <w:rFonts w:asciiTheme="majorBidi" w:hAnsiTheme="majorBidi" w:cstheme="majorBidi"/>
          <w:color w:val="000000" w:themeColor="text1"/>
          <w:lang w:val="en-GB"/>
        </w:rPr>
        <w:t>heir Companies</w:t>
      </w:r>
      <w:r w:rsidR="00A3355D">
        <w:rPr>
          <w:rFonts w:asciiTheme="majorBidi" w:hAnsiTheme="majorBidi" w:cstheme="majorBidi"/>
          <w:color w:val="000000" w:themeColor="text1"/>
          <w:lang w:val="en-GB"/>
        </w:rPr>
        <w:t>’</w:t>
      </w:r>
      <w:r w:rsidRPr="00CA4BC8">
        <w:rPr>
          <w:rFonts w:asciiTheme="majorBidi" w:hAnsiTheme="majorBidi" w:cstheme="majorBidi"/>
          <w:color w:val="000000" w:themeColor="text1"/>
          <w:lang w:val="en-GB"/>
        </w:rPr>
        <w:t xml:space="preserve"> Financial Distress’</w:t>
      </w:r>
      <w:r w:rsidR="00CA4BC8" w:rsidRPr="00CA4BC8">
        <w:rPr>
          <w:rFonts w:asciiTheme="majorBidi" w:hAnsiTheme="majorBidi" w:cstheme="majorBidi"/>
          <w:color w:val="000000" w:themeColor="text1"/>
          <w:lang w:val="en-GB"/>
        </w:rPr>
        <w:t xml:space="preserve"> (2015) 1(3)</w:t>
      </w:r>
      <w:r w:rsidRPr="00CA4BC8">
        <w:rPr>
          <w:rFonts w:asciiTheme="majorBidi" w:hAnsiTheme="majorBidi" w:cstheme="majorBidi"/>
          <w:color w:val="000000" w:themeColor="text1"/>
          <w:lang w:val="en-GB"/>
        </w:rPr>
        <w:t xml:space="preserve"> </w:t>
      </w:r>
      <w:r w:rsidRPr="00CA4BC8">
        <w:rPr>
          <w:rFonts w:asciiTheme="majorBidi" w:hAnsiTheme="majorBidi" w:cstheme="majorBidi"/>
          <w:i/>
          <w:color w:val="000000" w:themeColor="text1"/>
          <w:lang w:val="en-GB"/>
        </w:rPr>
        <w:t>Journal of Strategic Contracting and Negotiation</w:t>
      </w:r>
      <w:r w:rsidR="00CA4BC8" w:rsidRPr="00CA4BC8">
        <w:rPr>
          <w:rFonts w:asciiTheme="majorBidi" w:hAnsiTheme="majorBidi" w:cstheme="majorBidi"/>
          <w:color w:val="000000" w:themeColor="text1"/>
          <w:lang w:val="en-GB"/>
        </w:rPr>
        <w:t xml:space="preserve"> </w:t>
      </w:r>
      <w:r w:rsidRPr="00CA4BC8">
        <w:rPr>
          <w:rFonts w:asciiTheme="majorBidi" w:hAnsiTheme="majorBidi" w:cstheme="majorBidi"/>
          <w:color w:val="000000" w:themeColor="text1"/>
          <w:lang w:val="en-GB"/>
        </w:rPr>
        <w:t xml:space="preserve">224-226; Carsten Gerner-Beuerle </w:t>
      </w:r>
      <w:r w:rsidR="00CA4BC8" w:rsidRPr="00CA4BC8">
        <w:rPr>
          <w:rFonts w:asciiTheme="majorBidi" w:hAnsiTheme="majorBidi" w:cstheme="majorBidi"/>
          <w:color w:val="000000" w:themeColor="text1"/>
          <w:lang w:val="en-GB"/>
        </w:rPr>
        <w:t xml:space="preserve">and </w:t>
      </w:r>
      <w:r w:rsidRPr="00CA4BC8">
        <w:rPr>
          <w:rFonts w:asciiTheme="majorBidi" w:hAnsiTheme="majorBidi" w:cstheme="majorBidi"/>
          <w:color w:val="000000" w:themeColor="text1"/>
          <w:lang w:val="en-GB"/>
        </w:rPr>
        <w:t xml:space="preserve">Edmund-Philipp Schuster, </w:t>
      </w:r>
      <w:r w:rsidR="00FD2453" w:rsidRPr="00CA4BC8">
        <w:rPr>
          <w:rFonts w:asciiTheme="majorBidi" w:hAnsiTheme="majorBidi" w:cstheme="majorBidi"/>
          <w:color w:val="000000" w:themeColor="text1"/>
          <w:lang w:val="en-GB"/>
        </w:rPr>
        <w:t>‘</w:t>
      </w:r>
      <w:r w:rsidRPr="00CA4BC8">
        <w:rPr>
          <w:rFonts w:asciiTheme="majorBidi" w:hAnsiTheme="majorBidi" w:cstheme="majorBidi"/>
          <w:color w:val="000000" w:themeColor="text1"/>
          <w:lang w:val="en-GB"/>
        </w:rPr>
        <w:t>The evolving structure of directors’ duties in Europe</w:t>
      </w:r>
      <w:r w:rsidR="00FD2453" w:rsidRPr="00CA4BC8">
        <w:rPr>
          <w:rFonts w:asciiTheme="majorBidi" w:hAnsiTheme="majorBidi" w:cstheme="majorBidi"/>
          <w:color w:val="000000" w:themeColor="text1"/>
          <w:lang w:val="en-GB"/>
        </w:rPr>
        <w:t>’</w:t>
      </w:r>
      <w:r w:rsidRPr="00CA4BC8">
        <w:rPr>
          <w:rFonts w:asciiTheme="majorBidi" w:hAnsiTheme="majorBidi" w:cstheme="majorBidi"/>
          <w:color w:val="000000" w:themeColor="text1"/>
          <w:lang w:val="en-GB"/>
        </w:rPr>
        <w:t xml:space="preserve"> </w:t>
      </w:r>
      <w:r w:rsidR="00CA4BC8" w:rsidRPr="00CA4BC8">
        <w:rPr>
          <w:rFonts w:asciiTheme="majorBidi" w:hAnsiTheme="majorBidi" w:cstheme="majorBidi"/>
          <w:color w:val="000000" w:themeColor="text1"/>
          <w:lang w:val="en-GB"/>
        </w:rPr>
        <w:t xml:space="preserve">(2014) 15(2) </w:t>
      </w:r>
      <w:r w:rsidRPr="00CA4BC8">
        <w:rPr>
          <w:rFonts w:asciiTheme="majorBidi" w:hAnsiTheme="majorBidi" w:cstheme="majorBidi"/>
          <w:i/>
          <w:color w:val="000000" w:themeColor="text1"/>
          <w:lang w:val="en-GB"/>
        </w:rPr>
        <w:t>European Business Organization Law Review</w:t>
      </w:r>
      <w:r w:rsidR="00CA4BC8" w:rsidRPr="00CA4BC8">
        <w:rPr>
          <w:rFonts w:asciiTheme="majorBidi" w:hAnsiTheme="majorBidi" w:cstheme="majorBidi"/>
          <w:color w:val="000000" w:themeColor="text1"/>
          <w:lang w:val="en-GB"/>
        </w:rPr>
        <w:t xml:space="preserve"> </w:t>
      </w:r>
      <w:r w:rsidRPr="00CA4BC8">
        <w:rPr>
          <w:rFonts w:asciiTheme="majorBidi" w:hAnsiTheme="majorBidi" w:cstheme="majorBidi"/>
          <w:color w:val="000000" w:themeColor="text1"/>
          <w:lang w:val="en-GB"/>
        </w:rPr>
        <w:t xml:space="preserve">226; Horst Eidenmüller, </w:t>
      </w:r>
      <w:r w:rsidR="00FD2453" w:rsidRPr="00CA4BC8">
        <w:rPr>
          <w:rFonts w:asciiTheme="majorBidi" w:hAnsiTheme="majorBidi" w:cstheme="majorBidi"/>
          <w:color w:val="000000" w:themeColor="text1"/>
          <w:lang w:val="en-GB"/>
        </w:rPr>
        <w:t>‘</w:t>
      </w:r>
      <w:r w:rsidRPr="00CA4BC8">
        <w:rPr>
          <w:rFonts w:asciiTheme="majorBidi" w:hAnsiTheme="majorBidi" w:cstheme="majorBidi"/>
          <w:color w:val="000000" w:themeColor="text1"/>
          <w:lang w:val="en-GB"/>
        </w:rPr>
        <w:t>Trading in times of crisis: formal insolvency proceedings, workouts and the incentives for shareholders/managers</w:t>
      </w:r>
      <w:r w:rsidR="00FD2453" w:rsidRPr="00CA4BC8">
        <w:rPr>
          <w:rFonts w:asciiTheme="majorBidi" w:hAnsiTheme="majorBidi" w:cstheme="majorBidi"/>
          <w:color w:val="000000" w:themeColor="text1"/>
          <w:lang w:val="en-GB"/>
        </w:rPr>
        <w:t>’</w:t>
      </w:r>
      <w:r w:rsidR="00CA4BC8" w:rsidRPr="00CA4BC8">
        <w:rPr>
          <w:rFonts w:asciiTheme="majorBidi" w:hAnsiTheme="majorBidi" w:cstheme="majorBidi"/>
          <w:color w:val="000000" w:themeColor="text1"/>
          <w:lang w:val="en-GB"/>
        </w:rPr>
        <w:t xml:space="preserve"> (2006) 7(1)</w:t>
      </w:r>
      <w:r w:rsidRPr="00CA4BC8">
        <w:rPr>
          <w:rFonts w:asciiTheme="majorBidi" w:hAnsiTheme="majorBidi" w:cstheme="majorBidi"/>
          <w:color w:val="000000" w:themeColor="text1"/>
          <w:lang w:val="en-GB"/>
        </w:rPr>
        <w:t xml:space="preserve"> </w:t>
      </w:r>
      <w:r w:rsidRPr="00CA4BC8">
        <w:rPr>
          <w:rFonts w:asciiTheme="majorBidi" w:hAnsiTheme="majorBidi" w:cstheme="majorBidi"/>
          <w:i/>
          <w:color w:val="000000" w:themeColor="text1"/>
          <w:lang w:val="en-GB"/>
        </w:rPr>
        <w:t>European Business Organization Law Review</w:t>
      </w:r>
      <w:r w:rsidR="00CA4BC8" w:rsidRPr="00CA4BC8">
        <w:rPr>
          <w:rFonts w:asciiTheme="majorBidi" w:hAnsiTheme="majorBidi" w:cstheme="majorBidi"/>
          <w:color w:val="000000" w:themeColor="text1"/>
          <w:lang w:val="en-GB"/>
        </w:rPr>
        <w:t xml:space="preserve"> </w:t>
      </w:r>
      <w:r w:rsidRPr="00CA4BC8">
        <w:rPr>
          <w:rFonts w:asciiTheme="majorBidi" w:hAnsiTheme="majorBidi" w:cstheme="majorBidi"/>
          <w:color w:val="000000" w:themeColor="text1"/>
          <w:lang w:val="en-GB"/>
        </w:rPr>
        <w:t xml:space="preserve">252; Kristin van Zwieten, </w:t>
      </w:r>
      <w:r w:rsidR="00FD2453" w:rsidRPr="00CA4BC8">
        <w:rPr>
          <w:rFonts w:asciiTheme="majorBidi" w:hAnsiTheme="majorBidi" w:cstheme="majorBidi"/>
          <w:color w:val="000000" w:themeColor="text1"/>
          <w:lang w:val="en-GB"/>
        </w:rPr>
        <w:t>‘</w:t>
      </w:r>
      <w:r w:rsidRPr="00CA4BC8">
        <w:rPr>
          <w:rFonts w:asciiTheme="majorBidi" w:hAnsiTheme="majorBidi" w:cstheme="majorBidi"/>
          <w:color w:val="000000" w:themeColor="text1"/>
          <w:lang w:val="en-GB"/>
        </w:rPr>
        <w:t xml:space="preserve">Director liability in insolvency and its vicinity: </w:t>
      </w:r>
      <w:r w:rsidRPr="004A3AC1">
        <w:rPr>
          <w:rFonts w:asciiTheme="majorBidi" w:hAnsiTheme="majorBidi" w:cstheme="majorBidi"/>
          <w:i/>
          <w:iCs/>
          <w:color w:val="000000" w:themeColor="text1"/>
          <w:lang w:val="en-GB"/>
        </w:rPr>
        <w:t>West Mercia Safetywear Ltd v Dodd</w:t>
      </w:r>
      <w:r w:rsidRPr="00CA4BC8">
        <w:rPr>
          <w:rFonts w:asciiTheme="majorBidi" w:hAnsiTheme="majorBidi" w:cstheme="majorBidi"/>
          <w:color w:val="000000" w:themeColor="text1"/>
          <w:lang w:val="en-GB"/>
        </w:rPr>
        <w:t xml:space="preserve"> revisited</w:t>
      </w:r>
      <w:r w:rsidR="00FD2453" w:rsidRPr="00CA4BC8">
        <w:rPr>
          <w:rFonts w:asciiTheme="majorBidi" w:hAnsiTheme="majorBidi" w:cstheme="majorBidi"/>
          <w:color w:val="000000" w:themeColor="text1"/>
          <w:lang w:val="en-GB"/>
        </w:rPr>
        <w:t>’</w:t>
      </w:r>
      <w:r w:rsidR="00CA4BC8" w:rsidRPr="00CA4BC8">
        <w:rPr>
          <w:rFonts w:asciiTheme="majorBidi" w:hAnsiTheme="majorBidi" w:cstheme="majorBidi"/>
          <w:color w:val="000000" w:themeColor="text1"/>
          <w:lang w:val="en-GB"/>
        </w:rPr>
        <w:t xml:space="preserve"> (2018) 38(2)</w:t>
      </w:r>
      <w:r w:rsidRPr="00CA4BC8">
        <w:rPr>
          <w:rFonts w:asciiTheme="majorBidi" w:hAnsiTheme="majorBidi" w:cstheme="majorBidi"/>
          <w:color w:val="000000" w:themeColor="text1"/>
          <w:lang w:val="en-GB"/>
        </w:rPr>
        <w:t xml:space="preserve"> </w:t>
      </w:r>
      <w:r w:rsidRPr="00CA4BC8">
        <w:rPr>
          <w:rFonts w:asciiTheme="majorBidi" w:hAnsiTheme="majorBidi" w:cstheme="majorBidi"/>
          <w:i/>
          <w:color w:val="000000" w:themeColor="text1"/>
          <w:lang w:val="en-GB"/>
        </w:rPr>
        <w:t>Oxford Journal of Legal Studies</w:t>
      </w:r>
      <w:r w:rsidR="00CA4BC8" w:rsidRPr="00CA4BC8">
        <w:rPr>
          <w:rFonts w:asciiTheme="majorBidi" w:hAnsiTheme="majorBidi" w:cstheme="majorBidi"/>
          <w:color w:val="000000" w:themeColor="text1"/>
          <w:lang w:val="en-GB"/>
        </w:rPr>
        <w:t xml:space="preserve"> </w:t>
      </w:r>
      <w:r w:rsidRPr="00CA4BC8">
        <w:rPr>
          <w:rFonts w:asciiTheme="majorBidi" w:hAnsiTheme="majorBidi" w:cstheme="majorBidi"/>
          <w:color w:val="000000" w:themeColor="text1"/>
          <w:lang w:val="en-GB"/>
        </w:rPr>
        <w:t xml:space="preserve">382–409; Paul Davies, </w:t>
      </w:r>
      <w:r w:rsidR="00FD2453" w:rsidRPr="00CA4BC8">
        <w:rPr>
          <w:rFonts w:asciiTheme="majorBidi" w:hAnsiTheme="majorBidi" w:cstheme="majorBidi"/>
          <w:color w:val="000000" w:themeColor="text1"/>
          <w:lang w:val="en-GB"/>
        </w:rPr>
        <w:t>‘</w:t>
      </w:r>
      <w:r w:rsidRPr="00CA4BC8">
        <w:rPr>
          <w:rFonts w:asciiTheme="majorBidi" w:hAnsiTheme="majorBidi" w:cstheme="majorBidi"/>
          <w:color w:val="000000" w:themeColor="text1"/>
          <w:lang w:val="en-GB"/>
        </w:rPr>
        <w:t>Director’s Creditor-regarding duties in respect of trading decisions taken in the vicinity of insolvency</w:t>
      </w:r>
      <w:r w:rsidR="00FD2453" w:rsidRPr="00CA4BC8">
        <w:rPr>
          <w:rFonts w:asciiTheme="majorBidi" w:hAnsiTheme="majorBidi" w:cstheme="majorBidi"/>
          <w:color w:val="000000" w:themeColor="text1"/>
          <w:lang w:val="en-GB"/>
        </w:rPr>
        <w:t>’</w:t>
      </w:r>
      <w:r w:rsidR="00CA4BC8" w:rsidRPr="00CA4BC8">
        <w:rPr>
          <w:rFonts w:asciiTheme="majorBidi" w:hAnsiTheme="majorBidi" w:cstheme="majorBidi"/>
          <w:color w:val="000000" w:themeColor="text1"/>
          <w:lang w:val="en-GB"/>
        </w:rPr>
        <w:t xml:space="preserve"> (2006) 7(1)</w:t>
      </w:r>
      <w:r w:rsidRPr="00CA4BC8">
        <w:rPr>
          <w:rFonts w:asciiTheme="majorBidi" w:hAnsiTheme="majorBidi" w:cstheme="majorBidi"/>
          <w:color w:val="000000" w:themeColor="text1"/>
          <w:lang w:val="en-GB"/>
        </w:rPr>
        <w:t xml:space="preserve"> </w:t>
      </w:r>
      <w:r w:rsidRPr="00CA4BC8">
        <w:rPr>
          <w:rFonts w:asciiTheme="majorBidi" w:hAnsiTheme="majorBidi" w:cstheme="majorBidi"/>
          <w:i/>
          <w:color w:val="000000" w:themeColor="text1"/>
          <w:lang w:val="en-GB"/>
        </w:rPr>
        <w:t>European Business Organization Law Review</w:t>
      </w:r>
      <w:r w:rsidR="00CA4BC8" w:rsidRPr="00CA4BC8">
        <w:rPr>
          <w:rFonts w:asciiTheme="majorBidi" w:hAnsiTheme="majorBidi" w:cstheme="majorBidi"/>
          <w:color w:val="000000" w:themeColor="text1"/>
          <w:lang w:val="en-GB"/>
        </w:rPr>
        <w:t xml:space="preserve"> </w:t>
      </w:r>
      <w:r w:rsidRPr="00CA4BC8">
        <w:rPr>
          <w:rFonts w:asciiTheme="majorBidi" w:hAnsiTheme="majorBidi" w:cstheme="majorBidi"/>
          <w:color w:val="000000" w:themeColor="text1"/>
          <w:lang w:val="en-GB"/>
        </w:rPr>
        <w:t>319-320</w:t>
      </w:r>
      <w:r w:rsidR="00FD2453" w:rsidRPr="00CA4BC8">
        <w:rPr>
          <w:rFonts w:asciiTheme="majorBidi" w:hAnsiTheme="majorBidi" w:cstheme="majorBidi"/>
          <w:color w:val="000000" w:themeColor="text1"/>
          <w:lang w:val="en-GB"/>
        </w:rPr>
        <w:t>.</w:t>
      </w:r>
    </w:p>
  </w:footnote>
  <w:footnote w:id="6">
    <w:p w14:paraId="3486FC5C" w14:textId="4BDB9772" w:rsidR="00FD2453" w:rsidRPr="00CA4BC8" w:rsidRDefault="00FD2453" w:rsidP="00CA4BC8">
      <w:pPr>
        <w:pStyle w:val="FootnoteText"/>
        <w:tabs>
          <w:tab w:val="left" w:pos="284"/>
        </w:tabs>
        <w:jc w:val="both"/>
        <w:rPr>
          <w:rFonts w:asciiTheme="majorBidi" w:hAnsiTheme="majorBidi" w:cstheme="majorBidi"/>
          <w:lang w:val="en-GB"/>
        </w:rPr>
      </w:pPr>
      <w:r w:rsidRPr="00CA4BC8">
        <w:rPr>
          <w:rStyle w:val="FootnoteReference"/>
          <w:rFonts w:asciiTheme="majorBidi" w:hAnsiTheme="majorBidi" w:cstheme="majorBidi"/>
          <w:lang w:val="en-GB"/>
        </w:rPr>
        <w:footnoteRef/>
      </w:r>
      <w:r w:rsidRPr="00CA4BC8">
        <w:rPr>
          <w:rFonts w:asciiTheme="majorBidi" w:hAnsiTheme="majorBidi" w:cstheme="majorBidi"/>
          <w:lang w:val="en-GB"/>
        </w:rPr>
        <w:t xml:space="preserve"> See </w:t>
      </w:r>
      <w:r w:rsidRPr="00CA4BC8">
        <w:rPr>
          <w:rFonts w:asciiTheme="majorBidi" w:hAnsiTheme="majorBidi" w:cstheme="majorBidi"/>
          <w:color w:val="000000" w:themeColor="text1"/>
          <w:lang w:val="en-GB"/>
        </w:rPr>
        <w:t>Douglas Baird, ‘Bankruptcy’s Uncontested Axioms’</w:t>
      </w:r>
      <w:r w:rsidR="00CA4BC8" w:rsidRPr="00CA4BC8">
        <w:rPr>
          <w:rFonts w:asciiTheme="majorBidi" w:hAnsiTheme="majorBidi" w:cstheme="majorBidi"/>
          <w:color w:val="000000" w:themeColor="text1"/>
          <w:lang w:val="en-GB"/>
        </w:rPr>
        <w:t xml:space="preserve"> (1997) 108(3)</w:t>
      </w:r>
      <w:r w:rsidRPr="00CA4BC8">
        <w:rPr>
          <w:rFonts w:asciiTheme="majorBidi" w:hAnsiTheme="majorBidi" w:cstheme="majorBidi"/>
          <w:color w:val="000000" w:themeColor="text1"/>
          <w:lang w:val="en-GB"/>
        </w:rPr>
        <w:t xml:space="preserve"> </w:t>
      </w:r>
      <w:r w:rsidRPr="00CA4BC8">
        <w:rPr>
          <w:rFonts w:asciiTheme="majorBidi" w:hAnsiTheme="majorBidi" w:cstheme="majorBidi"/>
          <w:i/>
          <w:color w:val="000000" w:themeColor="text1"/>
          <w:lang w:val="en-GB"/>
        </w:rPr>
        <w:t>Yale Law Journal</w:t>
      </w:r>
      <w:r w:rsidR="00CA4BC8" w:rsidRPr="00CA4BC8">
        <w:rPr>
          <w:rFonts w:asciiTheme="majorBidi" w:hAnsiTheme="majorBidi" w:cstheme="majorBidi"/>
          <w:i/>
          <w:color w:val="000000" w:themeColor="text1"/>
          <w:lang w:val="en-GB"/>
        </w:rPr>
        <w:t xml:space="preserve"> </w:t>
      </w:r>
      <w:r w:rsidRPr="00CA4BC8">
        <w:rPr>
          <w:rFonts w:asciiTheme="majorBidi" w:hAnsiTheme="majorBidi" w:cstheme="majorBidi"/>
          <w:color w:val="000000" w:themeColor="text1"/>
          <w:lang w:val="en-GB"/>
        </w:rPr>
        <w:t>573-599.</w:t>
      </w:r>
    </w:p>
  </w:footnote>
  <w:footnote w:id="7">
    <w:p w14:paraId="69EAF8EB" w14:textId="4EC8826E" w:rsidR="00FD2453" w:rsidRPr="00CA4BC8" w:rsidRDefault="00FD2453" w:rsidP="00CA4BC8">
      <w:pPr>
        <w:pStyle w:val="FootnoteText"/>
        <w:jc w:val="both"/>
        <w:rPr>
          <w:rFonts w:asciiTheme="majorBidi" w:hAnsiTheme="majorBidi" w:cstheme="majorBidi"/>
          <w:i/>
          <w:color w:val="000000" w:themeColor="text1"/>
          <w:lang w:val="en-GB"/>
        </w:rPr>
      </w:pPr>
      <w:r w:rsidRPr="00CA4BC8">
        <w:rPr>
          <w:rStyle w:val="FootnoteReference"/>
          <w:rFonts w:asciiTheme="majorBidi" w:hAnsiTheme="majorBidi" w:cstheme="majorBidi"/>
          <w:lang w:val="en-GB"/>
        </w:rPr>
        <w:footnoteRef/>
      </w:r>
      <w:r w:rsidRPr="00CA4BC8">
        <w:rPr>
          <w:rFonts w:asciiTheme="majorBidi" w:hAnsiTheme="majorBidi" w:cstheme="majorBidi"/>
          <w:lang w:val="en-GB"/>
        </w:rPr>
        <w:t xml:space="preserve"> See </w:t>
      </w:r>
      <w:r w:rsidRPr="00CA4BC8">
        <w:rPr>
          <w:rFonts w:asciiTheme="majorBidi" w:hAnsiTheme="majorBidi" w:cstheme="majorBidi"/>
          <w:color w:val="000000" w:themeColor="text1"/>
          <w:lang w:val="en-GB"/>
        </w:rPr>
        <w:t xml:space="preserve">Hans Würdinger, </w:t>
      </w:r>
      <w:r w:rsidRPr="00CA4BC8">
        <w:rPr>
          <w:rFonts w:asciiTheme="majorBidi" w:hAnsiTheme="majorBidi" w:cstheme="majorBidi"/>
          <w:i/>
          <w:color w:val="000000" w:themeColor="text1"/>
          <w:lang w:val="en-GB"/>
        </w:rPr>
        <w:t>Theorie der schlichten Interessengemeinschaften</w:t>
      </w:r>
      <w:r w:rsidRPr="00CA4BC8">
        <w:rPr>
          <w:rFonts w:asciiTheme="majorBidi" w:hAnsiTheme="majorBidi" w:cstheme="majorBidi"/>
          <w:color w:val="000000" w:themeColor="text1"/>
          <w:lang w:val="en-GB"/>
        </w:rPr>
        <w:t xml:space="preserve"> </w:t>
      </w:r>
      <w:r w:rsidR="00CA4BC8" w:rsidRPr="00CA4BC8">
        <w:rPr>
          <w:rFonts w:asciiTheme="majorBidi" w:hAnsiTheme="majorBidi" w:cstheme="majorBidi"/>
          <w:color w:val="000000" w:themeColor="text1"/>
          <w:lang w:val="en-GB"/>
        </w:rPr>
        <w:t>(</w:t>
      </w:r>
      <w:r w:rsidRPr="00CA4BC8">
        <w:rPr>
          <w:rFonts w:asciiTheme="majorBidi" w:hAnsiTheme="majorBidi" w:cstheme="majorBidi"/>
          <w:color w:val="000000" w:themeColor="text1"/>
          <w:lang w:val="en-GB"/>
        </w:rPr>
        <w:t>Ferdinand Enke Verlag, 1934</w:t>
      </w:r>
      <w:r w:rsidR="00CA4BC8" w:rsidRPr="00CA4BC8">
        <w:rPr>
          <w:rFonts w:asciiTheme="majorBidi" w:hAnsiTheme="majorBidi" w:cstheme="majorBidi"/>
          <w:color w:val="000000" w:themeColor="text1"/>
          <w:lang w:val="en-GB"/>
        </w:rPr>
        <w:t>)</w:t>
      </w:r>
      <w:r w:rsidRPr="00CA4BC8">
        <w:rPr>
          <w:rFonts w:asciiTheme="majorBidi" w:hAnsiTheme="majorBidi" w:cstheme="majorBidi"/>
          <w:color w:val="000000" w:themeColor="text1"/>
          <w:lang w:val="en-GB"/>
        </w:rPr>
        <w:t xml:space="preserve">, 12-78; Horst Eidenmüller, </w:t>
      </w:r>
      <w:r w:rsidRPr="00CA4BC8">
        <w:rPr>
          <w:rFonts w:asciiTheme="majorBidi" w:hAnsiTheme="majorBidi" w:cstheme="majorBidi"/>
          <w:i/>
          <w:color w:val="000000" w:themeColor="text1"/>
          <w:lang w:val="en-GB"/>
        </w:rPr>
        <w:t>Unternehmenssanierung zwischen Markt und Gesetz</w:t>
      </w:r>
      <w:r w:rsidR="00771B04" w:rsidRPr="00CA4BC8">
        <w:rPr>
          <w:rFonts w:asciiTheme="majorBidi" w:hAnsiTheme="majorBidi" w:cstheme="majorBidi"/>
          <w:i/>
          <w:color w:val="000000" w:themeColor="text1"/>
          <w:lang w:val="en-GB"/>
        </w:rPr>
        <w:t xml:space="preserve">: </w:t>
      </w:r>
      <w:bookmarkStart w:id="0" w:name="_Hlk189323013"/>
      <w:r w:rsidR="00771B04" w:rsidRPr="00CA4BC8">
        <w:rPr>
          <w:rFonts w:asciiTheme="majorBidi" w:hAnsiTheme="majorBidi" w:cstheme="majorBidi"/>
          <w:i/>
          <w:color w:val="000000" w:themeColor="text1"/>
          <w:lang w:val="en-GB"/>
        </w:rPr>
        <w:t>Mechanismen der Untemehmensreorganisation und Kooperationspflichten im Reorganisationsrecht</w:t>
      </w:r>
      <w:r w:rsidR="00771B04" w:rsidRPr="00CA4BC8">
        <w:rPr>
          <w:rFonts w:asciiTheme="majorBidi" w:hAnsiTheme="majorBidi" w:cstheme="majorBidi"/>
          <w:color w:val="000000" w:themeColor="text1"/>
          <w:lang w:val="en-GB"/>
        </w:rPr>
        <w:t xml:space="preserve"> </w:t>
      </w:r>
      <w:r w:rsidR="00CA4BC8" w:rsidRPr="00CA4BC8">
        <w:rPr>
          <w:rFonts w:asciiTheme="majorBidi" w:hAnsiTheme="majorBidi" w:cstheme="majorBidi"/>
          <w:color w:val="000000" w:themeColor="text1"/>
          <w:lang w:val="en-GB"/>
        </w:rPr>
        <w:t>(</w:t>
      </w:r>
      <w:r w:rsidR="00771B04" w:rsidRPr="00CA4BC8">
        <w:rPr>
          <w:rStyle w:val="Emphasis"/>
          <w:rFonts w:asciiTheme="majorBidi" w:hAnsiTheme="majorBidi" w:cstheme="majorBidi"/>
          <w:i w:val="0"/>
          <w:iCs w:val="0"/>
          <w:color w:val="000000" w:themeColor="text1"/>
          <w:lang w:val="en-GB"/>
        </w:rPr>
        <w:t>Otto Sch</w:t>
      </w:r>
      <w:r w:rsidR="00A3355D">
        <w:rPr>
          <w:rStyle w:val="Emphasis"/>
          <w:rFonts w:asciiTheme="majorBidi" w:hAnsiTheme="majorBidi" w:cstheme="majorBidi"/>
          <w:i w:val="0"/>
          <w:iCs w:val="0"/>
          <w:color w:val="000000" w:themeColor="text1"/>
          <w:lang w:val="en-GB"/>
        </w:rPr>
        <w:t>m</w:t>
      </w:r>
      <w:r w:rsidR="00771B04" w:rsidRPr="00CA4BC8">
        <w:rPr>
          <w:rStyle w:val="Emphasis"/>
          <w:rFonts w:asciiTheme="majorBidi" w:hAnsiTheme="majorBidi" w:cstheme="majorBidi"/>
          <w:i w:val="0"/>
          <w:iCs w:val="0"/>
          <w:color w:val="000000" w:themeColor="text1"/>
          <w:lang w:val="en-GB"/>
        </w:rPr>
        <w:t>idt, 1999</w:t>
      </w:r>
      <w:bookmarkEnd w:id="0"/>
      <w:r w:rsidR="00CA4BC8" w:rsidRPr="00CA4BC8">
        <w:rPr>
          <w:rStyle w:val="Emphasis"/>
          <w:rFonts w:asciiTheme="majorBidi" w:hAnsiTheme="majorBidi" w:cstheme="majorBidi"/>
          <w:i w:val="0"/>
          <w:iCs w:val="0"/>
          <w:color w:val="000000" w:themeColor="text1"/>
          <w:lang w:val="en-GB"/>
        </w:rPr>
        <w:t>)</w:t>
      </w:r>
      <w:r w:rsidRPr="00CA4BC8">
        <w:rPr>
          <w:rStyle w:val="Emphasis"/>
          <w:rFonts w:asciiTheme="majorBidi" w:hAnsiTheme="majorBidi" w:cstheme="majorBidi"/>
          <w:i w:val="0"/>
          <w:iCs w:val="0"/>
          <w:color w:val="000000" w:themeColor="text1"/>
          <w:lang w:val="en-GB"/>
        </w:rPr>
        <w:t>, 608-619</w:t>
      </w:r>
      <w:r w:rsidR="00771B04" w:rsidRPr="00CA4BC8">
        <w:rPr>
          <w:rFonts w:asciiTheme="majorBidi" w:hAnsiTheme="majorBidi" w:cstheme="majorBidi"/>
          <w:i/>
          <w:color w:val="000000" w:themeColor="text1"/>
          <w:lang w:val="en-GB"/>
        </w:rPr>
        <w:t>.</w:t>
      </w:r>
    </w:p>
  </w:footnote>
  <w:footnote w:id="8">
    <w:p w14:paraId="5BA9F9EF" w14:textId="7CCC491E" w:rsidR="00771B04" w:rsidRPr="00CA4BC8" w:rsidRDefault="00771B04" w:rsidP="00CA4BC8">
      <w:pPr>
        <w:pStyle w:val="FootnoteText"/>
        <w:jc w:val="both"/>
        <w:rPr>
          <w:rFonts w:asciiTheme="majorBidi" w:hAnsiTheme="majorBidi" w:cstheme="majorBidi"/>
          <w:lang w:val="en-GB"/>
        </w:rPr>
      </w:pPr>
      <w:r w:rsidRPr="00CA4BC8">
        <w:rPr>
          <w:rStyle w:val="FootnoteReference"/>
          <w:rFonts w:asciiTheme="majorBidi" w:hAnsiTheme="majorBidi" w:cstheme="majorBidi"/>
          <w:lang w:val="en-GB"/>
        </w:rPr>
        <w:footnoteRef/>
      </w:r>
      <w:r w:rsidRPr="00CA4BC8">
        <w:rPr>
          <w:rFonts w:asciiTheme="majorBidi" w:hAnsiTheme="majorBidi" w:cstheme="majorBidi"/>
          <w:lang w:val="en-GB"/>
        </w:rPr>
        <w:t xml:space="preserve"> Karl Larenz</w:t>
      </w:r>
      <w:r w:rsidR="00CA4BC8">
        <w:rPr>
          <w:rFonts w:asciiTheme="majorBidi" w:hAnsiTheme="majorBidi" w:cstheme="majorBidi"/>
          <w:lang w:val="en-GB"/>
        </w:rPr>
        <w:t>,</w:t>
      </w:r>
      <w:r w:rsidRPr="00CA4BC8">
        <w:rPr>
          <w:rFonts w:asciiTheme="majorBidi" w:hAnsiTheme="majorBidi" w:cstheme="majorBidi"/>
          <w:lang w:val="en-GB"/>
        </w:rPr>
        <w:t xml:space="preserve"> </w:t>
      </w:r>
      <w:r w:rsidR="00CA4BC8">
        <w:rPr>
          <w:rFonts w:asciiTheme="majorBidi" w:hAnsiTheme="majorBidi" w:cstheme="majorBidi"/>
          <w:lang w:val="en-GB"/>
        </w:rPr>
        <w:t>‘</w:t>
      </w:r>
      <w:r w:rsidRPr="00CA4BC8">
        <w:rPr>
          <w:rFonts w:asciiTheme="majorBidi" w:hAnsiTheme="majorBidi" w:cstheme="majorBidi"/>
          <w:color w:val="000000" w:themeColor="text1"/>
          <w:lang w:val="en-GB"/>
        </w:rPr>
        <w:t>Bemerkungen zur Haftung für “culpa in contrahendo”</w:t>
      </w:r>
      <w:r w:rsidR="00CA4BC8">
        <w:rPr>
          <w:rFonts w:asciiTheme="majorBidi" w:hAnsiTheme="majorBidi" w:cstheme="majorBidi"/>
          <w:color w:val="000000" w:themeColor="text1"/>
          <w:lang w:val="en-GB"/>
        </w:rPr>
        <w:t>’</w:t>
      </w:r>
      <w:r w:rsidRPr="00CA4BC8">
        <w:rPr>
          <w:rFonts w:asciiTheme="majorBidi" w:hAnsiTheme="majorBidi" w:cstheme="majorBidi"/>
          <w:color w:val="000000" w:themeColor="text1"/>
          <w:lang w:val="en-GB"/>
        </w:rPr>
        <w:t xml:space="preserve">, </w:t>
      </w:r>
      <w:r w:rsidR="00A3355D">
        <w:rPr>
          <w:rFonts w:asciiTheme="majorBidi" w:hAnsiTheme="majorBidi" w:cstheme="majorBidi"/>
          <w:color w:val="000000" w:themeColor="text1"/>
          <w:lang w:val="en-GB"/>
        </w:rPr>
        <w:t xml:space="preserve">in Werner Flume, Peter Raisch and Ernst Steindorff (eds), </w:t>
      </w:r>
      <w:r w:rsidRPr="00CA4BC8">
        <w:rPr>
          <w:rFonts w:asciiTheme="majorBidi" w:hAnsiTheme="majorBidi" w:cstheme="majorBidi"/>
          <w:i/>
          <w:color w:val="000000" w:themeColor="text1"/>
          <w:lang w:val="en-GB"/>
        </w:rPr>
        <w:t>Beiträge zum Zivil- und Wirtsch</w:t>
      </w:r>
      <w:r w:rsidR="00A3355D">
        <w:rPr>
          <w:rFonts w:asciiTheme="majorBidi" w:hAnsiTheme="majorBidi" w:cstheme="majorBidi"/>
          <w:i/>
          <w:color w:val="000000" w:themeColor="text1"/>
          <w:lang w:val="en-GB"/>
        </w:rPr>
        <w:t>a</w:t>
      </w:r>
      <w:r w:rsidRPr="00CA4BC8">
        <w:rPr>
          <w:rFonts w:asciiTheme="majorBidi" w:hAnsiTheme="majorBidi" w:cstheme="majorBidi"/>
          <w:i/>
          <w:color w:val="000000" w:themeColor="text1"/>
          <w:lang w:val="en-GB"/>
        </w:rPr>
        <w:t xml:space="preserve">ftsrecht: Festschrift für Kurt </w:t>
      </w:r>
      <w:r w:rsidRPr="00CA4BC8">
        <w:rPr>
          <w:rStyle w:val="Emphasis"/>
          <w:rFonts w:asciiTheme="majorBidi" w:hAnsiTheme="majorBidi" w:cstheme="majorBidi"/>
          <w:color w:val="000000" w:themeColor="text1"/>
          <w:lang w:val="en-GB"/>
        </w:rPr>
        <w:t>Ballerstedt</w:t>
      </w:r>
      <w:r w:rsidRPr="00CA4BC8">
        <w:rPr>
          <w:rFonts w:asciiTheme="majorBidi" w:hAnsiTheme="majorBidi" w:cstheme="majorBidi"/>
          <w:i/>
          <w:color w:val="000000" w:themeColor="text1"/>
          <w:lang w:val="en-GB"/>
        </w:rPr>
        <w:t xml:space="preserve"> zum 70. Gebur</w:t>
      </w:r>
      <w:r w:rsidR="00A3355D">
        <w:rPr>
          <w:rFonts w:asciiTheme="majorBidi" w:hAnsiTheme="majorBidi" w:cstheme="majorBidi"/>
          <w:i/>
          <w:color w:val="000000" w:themeColor="text1"/>
          <w:lang w:val="en-GB"/>
        </w:rPr>
        <w:t>t</w:t>
      </w:r>
      <w:r w:rsidRPr="00CA4BC8">
        <w:rPr>
          <w:rFonts w:asciiTheme="majorBidi" w:hAnsiTheme="majorBidi" w:cstheme="majorBidi"/>
          <w:i/>
          <w:color w:val="000000" w:themeColor="text1"/>
          <w:lang w:val="en-GB"/>
        </w:rPr>
        <w:t xml:space="preserve">stag am 24. Dezember 1975 </w:t>
      </w:r>
      <w:r w:rsidR="00A3355D" w:rsidRPr="00A3355D">
        <w:rPr>
          <w:rFonts w:asciiTheme="majorBidi" w:hAnsiTheme="majorBidi" w:cstheme="majorBidi"/>
          <w:iCs/>
          <w:color w:val="000000" w:themeColor="text1"/>
          <w:lang w:val="en-GB"/>
        </w:rPr>
        <w:t>(</w:t>
      </w:r>
      <w:r w:rsidRPr="00CA4BC8">
        <w:rPr>
          <w:rFonts w:asciiTheme="majorBidi" w:hAnsiTheme="majorBidi" w:cstheme="majorBidi"/>
          <w:color w:val="000000" w:themeColor="text1"/>
          <w:lang w:val="en-GB"/>
        </w:rPr>
        <w:t>FS Ballerstedt, 1975</w:t>
      </w:r>
      <w:r w:rsidR="00A3355D">
        <w:rPr>
          <w:rFonts w:asciiTheme="majorBidi" w:hAnsiTheme="majorBidi" w:cstheme="majorBidi"/>
          <w:color w:val="000000" w:themeColor="text1"/>
          <w:lang w:val="en-GB"/>
        </w:rPr>
        <w:t>)</w:t>
      </w:r>
      <w:r w:rsidRPr="00CA4BC8">
        <w:rPr>
          <w:rFonts w:asciiTheme="majorBidi" w:hAnsiTheme="majorBidi" w:cstheme="majorBidi"/>
          <w:color w:val="000000" w:themeColor="text1"/>
          <w:lang w:val="en-GB"/>
        </w:rPr>
        <w:t>, 397-419)</w:t>
      </w:r>
      <w:r w:rsidR="00A3355D">
        <w:rPr>
          <w:rFonts w:asciiTheme="majorBidi" w:hAnsiTheme="majorBidi" w:cstheme="majorBidi"/>
          <w:color w:val="000000" w:themeColor="text1"/>
          <w:lang w:val="en-GB"/>
        </w:rPr>
        <w:t>;</w:t>
      </w:r>
      <w:r w:rsidRPr="00CA4BC8">
        <w:rPr>
          <w:rFonts w:asciiTheme="majorBidi" w:hAnsiTheme="majorBidi" w:cstheme="majorBidi"/>
          <w:color w:val="000000" w:themeColor="text1"/>
          <w:lang w:val="en-GB"/>
        </w:rPr>
        <w:t xml:space="preserve"> </w:t>
      </w:r>
      <w:r w:rsidRPr="00CA4BC8">
        <w:rPr>
          <w:rFonts w:asciiTheme="majorBidi" w:hAnsiTheme="majorBidi" w:cstheme="majorBidi"/>
          <w:lang w:val="en-GB"/>
        </w:rPr>
        <w:t>Klaus Hopt</w:t>
      </w:r>
      <w:r w:rsidR="00A3355D">
        <w:rPr>
          <w:rFonts w:asciiTheme="majorBidi" w:hAnsiTheme="majorBidi" w:cstheme="majorBidi"/>
          <w:lang w:val="en-GB"/>
        </w:rPr>
        <w:t>,</w:t>
      </w:r>
      <w:r w:rsidRPr="00CA4BC8">
        <w:rPr>
          <w:rFonts w:asciiTheme="majorBidi" w:hAnsiTheme="majorBidi" w:cstheme="majorBidi"/>
          <w:lang w:val="en-GB"/>
        </w:rPr>
        <w:t xml:space="preserve"> </w:t>
      </w:r>
      <w:r w:rsidR="00A3355D">
        <w:rPr>
          <w:rFonts w:asciiTheme="majorBidi" w:hAnsiTheme="majorBidi" w:cstheme="majorBidi"/>
          <w:lang w:val="en-GB"/>
        </w:rPr>
        <w:t>‘</w:t>
      </w:r>
      <w:r w:rsidRPr="00CA4BC8">
        <w:rPr>
          <w:rFonts w:asciiTheme="majorBidi" w:hAnsiTheme="majorBidi" w:cstheme="majorBidi"/>
          <w:color w:val="000000" w:themeColor="text1"/>
          <w:lang w:val="en-GB"/>
        </w:rPr>
        <w:t>Nichtvertragliche Haftung außerhalb von Schadens- und Bereicherungsausgleich: — Zur Theorie und Dogmatik des Berufsrechts und der Berufshaftung</w:t>
      </w:r>
      <w:r w:rsidR="00A3355D">
        <w:rPr>
          <w:rFonts w:asciiTheme="majorBidi" w:hAnsiTheme="majorBidi" w:cstheme="majorBidi"/>
          <w:color w:val="000000" w:themeColor="text1"/>
          <w:lang w:val="en-GB"/>
        </w:rPr>
        <w:t>’ (1983) 183(4/5)</w:t>
      </w:r>
      <w:r w:rsidRPr="00CA4BC8">
        <w:rPr>
          <w:rFonts w:asciiTheme="majorBidi" w:hAnsiTheme="majorBidi" w:cstheme="majorBidi"/>
          <w:color w:val="000000" w:themeColor="text1"/>
          <w:lang w:val="en-GB"/>
        </w:rPr>
        <w:t xml:space="preserve"> </w:t>
      </w:r>
      <w:r w:rsidRPr="00CA4BC8">
        <w:rPr>
          <w:rFonts w:asciiTheme="majorBidi" w:hAnsiTheme="majorBidi" w:cstheme="majorBidi"/>
          <w:i/>
          <w:color w:val="000000" w:themeColor="text1"/>
          <w:lang w:val="en-GB"/>
        </w:rPr>
        <w:t>Archiv für die civilistische Praxis</w:t>
      </w:r>
      <w:r w:rsidR="00A3355D">
        <w:rPr>
          <w:rFonts w:asciiTheme="majorBidi" w:hAnsiTheme="majorBidi" w:cstheme="majorBidi"/>
          <w:color w:val="000000" w:themeColor="text1"/>
          <w:lang w:val="en-GB"/>
        </w:rPr>
        <w:t xml:space="preserve"> </w:t>
      </w:r>
      <w:r w:rsidRPr="00CA4BC8">
        <w:rPr>
          <w:rFonts w:asciiTheme="majorBidi" w:hAnsiTheme="majorBidi" w:cstheme="majorBidi"/>
          <w:color w:val="000000" w:themeColor="text1"/>
          <w:lang w:val="en-GB"/>
        </w:rPr>
        <w:t>699-701)</w:t>
      </w:r>
      <w:r w:rsidRPr="00CA4BC8">
        <w:rPr>
          <w:rFonts w:asciiTheme="majorBidi" w:hAnsiTheme="majorBidi" w:cstheme="majorBidi"/>
          <w:lang w:val="en-GB"/>
        </w:rPr>
        <w:t>, building on the doctrine developed by Kurt Ballerstedt</w:t>
      </w:r>
      <w:r w:rsidR="00A3355D">
        <w:rPr>
          <w:rFonts w:asciiTheme="majorBidi" w:hAnsiTheme="majorBidi" w:cstheme="majorBidi"/>
          <w:lang w:val="en-GB"/>
        </w:rPr>
        <w:t>,</w:t>
      </w:r>
      <w:r w:rsidRPr="00CA4BC8">
        <w:rPr>
          <w:rFonts w:asciiTheme="majorBidi" w:hAnsiTheme="majorBidi" w:cstheme="majorBidi"/>
          <w:lang w:val="en-GB"/>
        </w:rPr>
        <w:t xml:space="preserve"> </w:t>
      </w:r>
      <w:r w:rsidR="00A3355D">
        <w:rPr>
          <w:rFonts w:asciiTheme="majorBidi" w:hAnsiTheme="majorBidi" w:cstheme="majorBidi"/>
          <w:lang w:val="en-GB"/>
        </w:rPr>
        <w:t>‘</w:t>
      </w:r>
      <w:r w:rsidRPr="00CA4BC8">
        <w:rPr>
          <w:rStyle w:val="Emphasis"/>
          <w:rFonts w:asciiTheme="majorBidi" w:hAnsiTheme="majorBidi" w:cstheme="majorBidi"/>
          <w:color w:val="000000" w:themeColor="text1"/>
          <w:lang w:val="en-GB"/>
        </w:rPr>
        <w:t>Zur Haftung für culpa in contrahendo</w:t>
      </w:r>
      <w:r w:rsidRPr="00CA4BC8">
        <w:rPr>
          <w:rStyle w:val="acopre"/>
          <w:rFonts w:asciiTheme="majorBidi" w:hAnsiTheme="majorBidi" w:cstheme="majorBidi"/>
          <w:color w:val="000000" w:themeColor="text1"/>
          <w:lang w:val="en-GB"/>
        </w:rPr>
        <w:t xml:space="preserve"> bei</w:t>
      </w:r>
      <w:r w:rsidRPr="00CA4BC8">
        <w:rPr>
          <w:rStyle w:val="acopre"/>
          <w:rFonts w:asciiTheme="majorBidi" w:hAnsiTheme="majorBidi" w:cstheme="majorBidi"/>
          <w:i/>
          <w:color w:val="000000" w:themeColor="text1"/>
          <w:lang w:val="en-GB"/>
        </w:rPr>
        <w:t xml:space="preserve">. </w:t>
      </w:r>
      <w:r w:rsidRPr="00CA4BC8">
        <w:rPr>
          <w:rStyle w:val="Emphasis"/>
          <w:rFonts w:asciiTheme="majorBidi" w:hAnsiTheme="majorBidi" w:cstheme="majorBidi"/>
          <w:color w:val="000000" w:themeColor="text1"/>
          <w:lang w:val="en-GB"/>
        </w:rPr>
        <w:t>Geschäftsabschluss durch Stellvertreter</w:t>
      </w:r>
      <w:r w:rsidR="00A3355D">
        <w:rPr>
          <w:rStyle w:val="acopre"/>
          <w:rFonts w:asciiTheme="majorBidi" w:hAnsiTheme="majorBidi" w:cstheme="majorBidi"/>
          <w:color w:val="000000" w:themeColor="text1"/>
          <w:lang w:val="en-GB"/>
        </w:rPr>
        <w:t>’ (1950/1951) 151</w:t>
      </w:r>
      <w:r w:rsidRPr="00CA4BC8">
        <w:rPr>
          <w:rStyle w:val="acopre"/>
          <w:rFonts w:asciiTheme="majorBidi" w:hAnsiTheme="majorBidi" w:cstheme="majorBidi"/>
          <w:color w:val="000000" w:themeColor="text1"/>
          <w:lang w:val="en-GB"/>
        </w:rPr>
        <w:t xml:space="preserve"> </w:t>
      </w:r>
      <w:r w:rsidRPr="00CA4BC8">
        <w:rPr>
          <w:rFonts w:asciiTheme="majorBidi" w:hAnsiTheme="majorBidi" w:cstheme="majorBidi"/>
          <w:i/>
          <w:color w:val="000000" w:themeColor="text1"/>
          <w:lang w:val="en-GB"/>
        </w:rPr>
        <w:t>Archiv für die civilistische Praxis</w:t>
      </w:r>
      <w:r w:rsidR="00A3355D">
        <w:rPr>
          <w:rFonts w:asciiTheme="majorBidi" w:hAnsiTheme="majorBidi" w:cstheme="majorBidi"/>
          <w:color w:val="000000" w:themeColor="text1"/>
          <w:lang w:val="en-GB"/>
        </w:rPr>
        <w:t xml:space="preserve"> </w:t>
      </w:r>
      <w:r w:rsidRPr="00CA4BC8">
        <w:rPr>
          <w:rStyle w:val="acopre"/>
          <w:rFonts w:asciiTheme="majorBidi" w:hAnsiTheme="majorBidi" w:cstheme="majorBidi"/>
          <w:color w:val="000000" w:themeColor="text1"/>
          <w:lang w:val="en-GB"/>
        </w:rPr>
        <w:t>501-531)</w:t>
      </w:r>
      <w:r w:rsidRPr="00CA4BC8">
        <w:rPr>
          <w:rFonts w:asciiTheme="majorBidi" w:hAnsiTheme="majorBidi" w:cstheme="majorBidi"/>
          <w:lang w:val="en-GB"/>
        </w:rPr>
        <w:t>, emphasise that this reasoning may also justify the recognition of autonomous liability of directors and corporate representatives towards third parties where, in the course of negotiations, they relied on their professional standing and personal qualities as factors capable of generating trust, or where they had a relevant economic interest in the conclusion of the contract to be entered into between the company they represented and third parties. From this perspective, the decisive factor for attributing liability to directors and corporate representatives lies in specific and conclusive conduct that created a legitimate expectation on the part of third parties that those directors would perform alongside the company, or even in place of the company itself.</w:t>
      </w:r>
    </w:p>
  </w:footnote>
  <w:footnote w:id="9">
    <w:p w14:paraId="0AB47051" w14:textId="69741F46" w:rsidR="00FD2453" w:rsidRPr="00CA4BC8" w:rsidRDefault="00FD2453" w:rsidP="00CA4BC8">
      <w:pPr>
        <w:pStyle w:val="FootnoteText"/>
        <w:jc w:val="both"/>
        <w:rPr>
          <w:rFonts w:asciiTheme="majorBidi" w:hAnsiTheme="majorBidi" w:cstheme="majorBidi"/>
          <w:lang w:val="en-GB"/>
        </w:rPr>
      </w:pPr>
      <w:r w:rsidRPr="00CA4BC8">
        <w:rPr>
          <w:rStyle w:val="FootnoteReference"/>
          <w:rFonts w:asciiTheme="majorBidi" w:hAnsiTheme="majorBidi" w:cstheme="majorBidi"/>
          <w:lang w:val="en-GB"/>
        </w:rPr>
        <w:footnoteRef/>
      </w:r>
      <w:r w:rsidRPr="00CA4BC8">
        <w:rPr>
          <w:rFonts w:asciiTheme="majorBidi" w:hAnsiTheme="majorBidi" w:cstheme="majorBidi"/>
          <w:lang w:val="en-GB"/>
        </w:rPr>
        <w:t xml:space="preserve"> In a certain sense, this approach shares the same underlying philosophy as the concept of the social contract, as articulated by John Rawls</w:t>
      </w:r>
      <w:r w:rsidR="00A3355D">
        <w:rPr>
          <w:rFonts w:asciiTheme="majorBidi" w:hAnsiTheme="majorBidi" w:cstheme="majorBidi"/>
          <w:lang w:val="en-GB"/>
        </w:rPr>
        <w:t>,</w:t>
      </w:r>
      <w:r w:rsidRPr="00CA4BC8">
        <w:rPr>
          <w:rFonts w:asciiTheme="majorBidi" w:hAnsiTheme="majorBidi" w:cstheme="majorBidi"/>
          <w:lang w:val="en-GB"/>
        </w:rPr>
        <w:t xml:space="preserve"> </w:t>
      </w:r>
      <w:r w:rsidRPr="00A3355D">
        <w:rPr>
          <w:rFonts w:asciiTheme="majorBidi" w:hAnsiTheme="majorBidi" w:cstheme="majorBidi"/>
          <w:i/>
          <w:iCs/>
          <w:lang w:val="en-GB"/>
        </w:rPr>
        <w:t>A Theory of Justice</w:t>
      </w:r>
      <w:r w:rsidRPr="00CA4BC8">
        <w:rPr>
          <w:rFonts w:asciiTheme="majorBidi" w:hAnsiTheme="majorBidi" w:cstheme="majorBidi"/>
          <w:lang w:val="en-GB"/>
        </w:rPr>
        <w:t xml:space="preserve"> </w:t>
      </w:r>
      <w:r w:rsidR="00A3355D">
        <w:rPr>
          <w:rFonts w:asciiTheme="majorBidi" w:hAnsiTheme="majorBidi" w:cstheme="majorBidi"/>
          <w:lang w:val="en-GB"/>
        </w:rPr>
        <w:t>(</w:t>
      </w:r>
      <w:r w:rsidRPr="00CA4BC8">
        <w:rPr>
          <w:rFonts w:asciiTheme="majorBidi" w:hAnsiTheme="majorBidi" w:cstheme="majorBidi"/>
          <w:lang w:val="en-GB"/>
        </w:rPr>
        <w:t>Revised Edition</w:t>
      </w:r>
      <w:r w:rsidR="00A3355D">
        <w:rPr>
          <w:rFonts w:asciiTheme="majorBidi" w:hAnsiTheme="majorBidi" w:cstheme="majorBidi"/>
          <w:lang w:val="en-GB"/>
        </w:rPr>
        <w:t>)</w:t>
      </w:r>
      <w:r w:rsidRPr="00CA4BC8">
        <w:rPr>
          <w:rFonts w:asciiTheme="majorBidi" w:hAnsiTheme="majorBidi" w:cstheme="majorBidi"/>
          <w:lang w:val="en-GB"/>
        </w:rPr>
        <w:t xml:space="preserve"> </w:t>
      </w:r>
      <w:r w:rsidR="00A3355D">
        <w:rPr>
          <w:rFonts w:asciiTheme="majorBidi" w:hAnsiTheme="majorBidi" w:cstheme="majorBidi"/>
          <w:lang w:val="en-GB"/>
        </w:rPr>
        <w:t>(</w:t>
      </w:r>
      <w:r w:rsidRPr="00CA4BC8">
        <w:rPr>
          <w:rFonts w:asciiTheme="majorBidi" w:hAnsiTheme="majorBidi" w:cstheme="majorBidi"/>
          <w:lang w:val="en-GB"/>
        </w:rPr>
        <w:t>Harvard University Press, 1999). Rawls argues for a stable system of social cooperation, grounded in basic rules that are voluntarily accepted and guided by a shared sense of justice.</w:t>
      </w:r>
    </w:p>
  </w:footnote>
  <w:footnote w:id="10">
    <w:p w14:paraId="6C8629BD" w14:textId="639A4ED6" w:rsidR="00771B04" w:rsidRPr="00CA4BC8" w:rsidRDefault="00771B04" w:rsidP="00CA4BC8">
      <w:pPr>
        <w:pStyle w:val="FootnoteText"/>
        <w:rPr>
          <w:rFonts w:asciiTheme="majorBidi" w:hAnsiTheme="majorBidi" w:cstheme="majorBidi"/>
          <w:lang w:val="en-GB"/>
        </w:rPr>
      </w:pPr>
      <w:r w:rsidRPr="00CA4BC8">
        <w:rPr>
          <w:rStyle w:val="FootnoteReference"/>
          <w:rFonts w:asciiTheme="majorBidi" w:hAnsiTheme="majorBidi" w:cstheme="majorBidi"/>
          <w:lang w:val="en-GB"/>
        </w:rPr>
        <w:footnoteRef/>
      </w:r>
      <w:r w:rsidRPr="00CA4BC8">
        <w:rPr>
          <w:rFonts w:asciiTheme="majorBidi" w:hAnsiTheme="majorBidi" w:cstheme="majorBidi"/>
          <w:lang w:val="en-GB"/>
        </w:rPr>
        <w:t xml:space="preserve"> See </w:t>
      </w:r>
      <w:r w:rsidRPr="00CA4BC8">
        <w:rPr>
          <w:rFonts w:asciiTheme="majorBidi" w:hAnsiTheme="majorBidi" w:cstheme="majorBidi"/>
          <w:color w:val="000000" w:themeColor="text1"/>
          <w:lang w:val="en-GB"/>
        </w:rPr>
        <w:t>Gonçalves Machado</w:t>
      </w:r>
      <w:r w:rsidR="00A3355D">
        <w:rPr>
          <w:rFonts w:asciiTheme="majorBidi" w:hAnsiTheme="majorBidi" w:cstheme="majorBidi"/>
          <w:color w:val="000000" w:themeColor="text1"/>
          <w:lang w:val="en-GB"/>
        </w:rPr>
        <w:t xml:space="preserve"> (above note 1)</w:t>
      </w:r>
      <w:r w:rsidRPr="00CA4BC8">
        <w:rPr>
          <w:rFonts w:asciiTheme="majorBidi" w:hAnsiTheme="majorBidi" w:cstheme="majorBidi"/>
          <w:color w:val="000000" w:themeColor="text1"/>
          <w:lang w:val="en-GB"/>
        </w:rPr>
        <w:t>, 185 e</w:t>
      </w:r>
      <w:r w:rsidR="00A3355D">
        <w:rPr>
          <w:rFonts w:asciiTheme="majorBidi" w:hAnsiTheme="majorBidi" w:cstheme="majorBidi"/>
          <w:color w:val="000000" w:themeColor="text1"/>
          <w:lang w:val="en-GB"/>
        </w:rPr>
        <w:t>t</w:t>
      </w:r>
      <w:r w:rsidRPr="00CA4BC8">
        <w:rPr>
          <w:rFonts w:asciiTheme="majorBidi" w:hAnsiTheme="majorBidi" w:cstheme="majorBidi"/>
          <w:color w:val="000000" w:themeColor="text1"/>
          <w:lang w:val="en-GB"/>
        </w:rPr>
        <w:t xml:space="preserve"> s</w:t>
      </w:r>
      <w:r w:rsidR="00A3355D">
        <w:rPr>
          <w:rFonts w:asciiTheme="majorBidi" w:hAnsiTheme="majorBidi" w:cstheme="majorBidi"/>
          <w:color w:val="000000" w:themeColor="text1"/>
          <w:lang w:val="en-GB"/>
        </w:rPr>
        <w:t>eq</w:t>
      </w:r>
      <w:r w:rsidRPr="00CA4BC8">
        <w:rPr>
          <w:rFonts w:asciiTheme="majorBidi" w:hAnsiTheme="majorBidi" w:cstheme="majorBidi"/>
          <w:color w:val="000000" w:themeColor="text1"/>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3ACF" w14:textId="702D2194" w:rsidR="00771B04" w:rsidRPr="00771B04" w:rsidRDefault="00771B04" w:rsidP="00771B04">
    <w:pPr>
      <w:pStyle w:val="Header"/>
      <w:rPr>
        <w:rFonts w:ascii="Arial" w:hAnsi="Arial" w:cs="Arial"/>
        <w:b/>
        <w:sz w:val="20"/>
        <w:lang w:val="en-GB"/>
      </w:rPr>
    </w:pPr>
    <w:r w:rsidRPr="00771B04">
      <w:rPr>
        <w:rFonts w:ascii="Arial" w:hAnsi="Arial" w:cs="Arial"/>
        <w:b/>
        <w:sz w:val="20"/>
        <w:lang w:val="en-GB"/>
      </w:rPr>
      <w:t>Inside Story (January 2026)</w:t>
    </w:r>
  </w:p>
  <w:p w14:paraId="720E5975" w14:textId="08DA2346" w:rsidR="00771B04" w:rsidRPr="00771B04" w:rsidRDefault="00771B04">
    <w:pPr>
      <w:pStyle w:val="Header"/>
      <w:rPr>
        <w:lang w:val="en-GB"/>
      </w:rPr>
    </w:pPr>
    <w:r w:rsidRPr="00771B04">
      <w:rPr>
        <w:rFonts w:ascii="Arial" w:hAnsi="Arial" w:cs="Arial"/>
        <w:b/>
        <w:sz w:val="20"/>
        <w:lang w:val="en-GB"/>
      </w:rPr>
      <w:t>José Gonçalves Machado</w:t>
    </w:r>
    <w:r w:rsidR="00CA4BC8">
      <w:rPr>
        <w:rFonts w:ascii="Arial" w:hAnsi="Arial" w:cs="Arial"/>
        <w:b/>
        <w:sz w:val="20"/>
        <w:lang w:val="en-GB"/>
      </w:rPr>
      <w:t xml:space="preserve"> (EU)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7106D"/>
    <w:multiLevelType w:val="hybridMultilevel"/>
    <w:tmpl w:val="99EEDC6C"/>
    <w:lvl w:ilvl="0" w:tplc="295ABAAA">
      <w:start w:val="27"/>
      <w:numFmt w:val="bullet"/>
      <w:lvlText w:val="-"/>
      <w:lvlJc w:val="left"/>
      <w:pPr>
        <w:ind w:left="720" w:hanging="360"/>
      </w:pPr>
      <w:rPr>
        <w:rFonts w:ascii="NewsGotT" w:eastAsiaTheme="minorHAnsi" w:hAnsi="NewsGotT" w:cs="Times New Roman" w:hint="default"/>
        <w:sz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204763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2B"/>
    <w:rsid w:val="000519B6"/>
    <w:rsid w:val="00142B8A"/>
    <w:rsid w:val="002A672B"/>
    <w:rsid w:val="00300EF6"/>
    <w:rsid w:val="003206AD"/>
    <w:rsid w:val="003D38CA"/>
    <w:rsid w:val="00470FB3"/>
    <w:rsid w:val="004A3AC1"/>
    <w:rsid w:val="00734413"/>
    <w:rsid w:val="00771B04"/>
    <w:rsid w:val="009642A6"/>
    <w:rsid w:val="00A3355D"/>
    <w:rsid w:val="00CA4BC8"/>
    <w:rsid w:val="00E4063F"/>
    <w:rsid w:val="00FD2453"/>
  </w:rsids>
  <m:mathPr>
    <m:mathFont m:val="Cambria Math"/>
    <m:brkBin m:val="before"/>
    <m:brkBinSub m:val="--"/>
    <m:smallFrac m:val="0"/>
    <m:dispDef/>
    <m:lMargin m:val="0"/>
    <m:rMargin m:val="0"/>
    <m:defJc m:val="centerGroup"/>
    <m:wrapIndent m:val="1440"/>
    <m:intLim m:val="subSup"/>
    <m:naryLim m:val="undOvr"/>
  </m:mathPr>
  <w:themeFontLang w:val="pt-P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7C0A"/>
  <w15:chartTrackingRefBased/>
  <w15:docId w15:val="{71FD7D31-008E-4408-A678-ABE03C26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6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6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72B"/>
    <w:rPr>
      <w:rFonts w:eastAsiaTheme="majorEastAsia" w:cstheme="majorBidi"/>
      <w:color w:val="272727" w:themeColor="text1" w:themeTint="D8"/>
    </w:rPr>
  </w:style>
  <w:style w:type="paragraph" w:styleId="Title">
    <w:name w:val="Title"/>
    <w:basedOn w:val="Normal"/>
    <w:next w:val="Normal"/>
    <w:link w:val="TitleChar"/>
    <w:uiPriority w:val="10"/>
    <w:qFormat/>
    <w:rsid w:val="002A6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72B"/>
    <w:pPr>
      <w:spacing w:before="160"/>
      <w:jc w:val="center"/>
    </w:pPr>
    <w:rPr>
      <w:i/>
      <w:iCs/>
      <w:color w:val="404040" w:themeColor="text1" w:themeTint="BF"/>
    </w:rPr>
  </w:style>
  <w:style w:type="character" w:customStyle="1" w:styleId="QuoteChar">
    <w:name w:val="Quote Char"/>
    <w:basedOn w:val="DefaultParagraphFont"/>
    <w:link w:val="Quote"/>
    <w:uiPriority w:val="29"/>
    <w:rsid w:val="002A672B"/>
    <w:rPr>
      <w:i/>
      <w:iCs/>
      <w:color w:val="404040" w:themeColor="text1" w:themeTint="BF"/>
    </w:rPr>
  </w:style>
  <w:style w:type="paragraph" w:styleId="ListParagraph">
    <w:name w:val="List Paragraph"/>
    <w:basedOn w:val="Normal"/>
    <w:link w:val="ListParagraphChar"/>
    <w:uiPriority w:val="34"/>
    <w:qFormat/>
    <w:rsid w:val="002A672B"/>
    <w:pPr>
      <w:ind w:left="720"/>
      <w:contextualSpacing/>
    </w:pPr>
  </w:style>
  <w:style w:type="character" w:styleId="IntenseEmphasis">
    <w:name w:val="Intense Emphasis"/>
    <w:basedOn w:val="DefaultParagraphFont"/>
    <w:uiPriority w:val="21"/>
    <w:qFormat/>
    <w:rsid w:val="002A672B"/>
    <w:rPr>
      <w:i/>
      <w:iCs/>
      <w:color w:val="0F4761" w:themeColor="accent1" w:themeShade="BF"/>
    </w:rPr>
  </w:style>
  <w:style w:type="paragraph" w:styleId="IntenseQuote">
    <w:name w:val="Intense Quote"/>
    <w:basedOn w:val="Normal"/>
    <w:next w:val="Normal"/>
    <w:link w:val="IntenseQuoteChar"/>
    <w:uiPriority w:val="30"/>
    <w:qFormat/>
    <w:rsid w:val="002A6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72B"/>
    <w:rPr>
      <w:i/>
      <w:iCs/>
      <w:color w:val="0F4761" w:themeColor="accent1" w:themeShade="BF"/>
    </w:rPr>
  </w:style>
  <w:style w:type="character" w:styleId="IntenseReference">
    <w:name w:val="Intense Reference"/>
    <w:basedOn w:val="DefaultParagraphFont"/>
    <w:uiPriority w:val="32"/>
    <w:qFormat/>
    <w:rsid w:val="002A672B"/>
    <w:rPr>
      <w:b/>
      <w:bCs/>
      <w:smallCaps/>
      <w:color w:val="0F4761" w:themeColor="accent1" w:themeShade="BF"/>
      <w:spacing w:val="5"/>
    </w:rPr>
  </w:style>
  <w:style w:type="paragraph" w:styleId="NoSpacing">
    <w:name w:val="No Spacing"/>
    <w:uiPriority w:val="1"/>
    <w:qFormat/>
    <w:rsid w:val="002A672B"/>
    <w:pPr>
      <w:spacing w:after="0" w:line="240" w:lineRule="auto"/>
    </w:pPr>
    <w:rPr>
      <w:kern w:val="0"/>
      <w:lang w:val="en-US" w:bidi="ar-SA"/>
      <w14:ligatures w14:val="none"/>
    </w:rPr>
  </w:style>
  <w:style w:type="paragraph" w:styleId="FootnoteText">
    <w:name w:val="footnote text"/>
    <w:basedOn w:val="Normal"/>
    <w:link w:val="FootnoteTextChar"/>
    <w:uiPriority w:val="99"/>
    <w:unhideWhenUsed/>
    <w:rsid w:val="00300EF6"/>
    <w:pPr>
      <w:spacing w:after="0" w:line="240" w:lineRule="auto"/>
    </w:pPr>
    <w:rPr>
      <w:sz w:val="20"/>
      <w:szCs w:val="20"/>
    </w:rPr>
  </w:style>
  <w:style w:type="character" w:customStyle="1" w:styleId="FootnoteTextChar">
    <w:name w:val="Footnote Text Char"/>
    <w:basedOn w:val="DefaultParagraphFont"/>
    <w:link w:val="FootnoteText"/>
    <w:uiPriority w:val="99"/>
    <w:rsid w:val="00300EF6"/>
    <w:rPr>
      <w:sz w:val="20"/>
      <w:szCs w:val="20"/>
    </w:rPr>
  </w:style>
  <w:style w:type="character" w:styleId="FootnoteReference">
    <w:name w:val="footnote reference"/>
    <w:basedOn w:val="DefaultParagraphFont"/>
    <w:uiPriority w:val="99"/>
    <w:semiHidden/>
    <w:unhideWhenUsed/>
    <w:rsid w:val="00300EF6"/>
    <w:rPr>
      <w:vertAlign w:val="superscript"/>
    </w:rPr>
  </w:style>
  <w:style w:type="character" w:customStyle="1" w:styleId="ListParagraphChar">
    <w:name w:val="List Paragraph Char"/>
    <w:basedOn w:val="DefaultParagraphFont"/>
    <w:link w:val="ListParagraph"/>
    <w:uiPriority w:val="34"/>
    <w:rsid w:val="003D38CA"/>
  </w:style>
  <w:style w:type="character" w:customStyle="1" w:styleId="jlqj4b">
    <w:name w:val="jlqj4b"/>
    <w:basedOn w:val="DefaultParagraphFont"/>
    <w:rsid w:val="00E4063F"/>
  </w:style>
  <w:style w:type="character" w:customStyle="1" w:styleId="titel">
    <w:name w:val="titel"/>
    <w:basedOn w:val="DefaultParagraphFont"/>
    <w:rsid w:val="00FD2453"/>
  </w:style>
  <w:style w:type="character" w:styleId="Emphasis">
    <w:name w:val="Emphasis"/>
    <w:basedOn w:val="DefaultParagraphFont"/>
    <w:uiPriority w:val="20"/>
    <w:qFormat/>
    <w:rsid w:val="00FD2453"/>
    <w:rPr>
      <w:i/>
      <w:iCs/>
    </w:rPr>
  </w:style>
  <w:style w:type="character" w:customStyle="1" w:styleId="acopre">
    <w:name w:val="acopre"/>
    <w:basedOn w:val="DefaultParagraphFont"/>
    <w:rsid w:val="00771B04"/>
  </w:style>
  <w:style w:type="paragraph" w:styleId="Header">
    <w:name w:val="header"/>
    <w:basedOn w:val="Normal"/>
    <w:link w:val="HeaderChar"/>
    <w:uiPriority w:val="99"/>
    <w:unhideWhenUsed/>
    <w:rsid w:val="00771B04"/>
    <w:pPr>
      <w:tabs>
        <w:tab w:val="center" w:pos="4252"/>
        <w:tab w:val="right" w:pos="8504"/>
      </w:tabs>
      <w:spacing w:after="0" w:line="240" w:lineRule="auto"/>
    </w:pPr>
  </w:style>
  <w:style w:type="character" w:customStyle="1" w:styleId="HeaderChar">
    <w:name w:val="Header Char"/>
    <w:basedOn w:val="DefaultParagraphFont"/>
    <w:link w:val="Header"/>
    <w:uiPriority w:val="99"/>
    <w:rsid w:val="00771B04"/>
  </w:style>
  <w:style w:type="paragraph" w:styleId="Footer">
    <w:name w:val="footer"/>
    <w:basedOn w:val="Normal"/>
    <w:link w:val="FooterChar"/>
    <w:uiPriority w:val="99"/>
    <w:unhideWhenUsed/>
    <w:rsid w:val="00771B04"/>
    <w:pPr>
      <w:tabs>
        <w:tab w:val="center" w:pos="4252"/>
        <w:tab w:val="right" w:pos="8504"/>
      </w:tabs>
      <w:spacing w:after="0" w:line="240" w:lineRule="auto"/>
    </w:pPr>
  </w:style>
  <w:style w:type="character" w:customStyle="1" w:styleId="FooterChar">
    <w:name w:val="Footer Char"/>
    <w:basedOn w:val="DefaultParagraphFont"/>
    <w:link w:val="Footer"/>
    <w:uiPriority w:val="99"/>
    <w:rsid w:val="00771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1477</Words>
  <Characters>8421</Characters>
  <Application>Microsoft Office Word</Application>
  <DocSecurity>0</DocSecurity>
  <Lines>70</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 Gonçalves Machado</dc:creator>
  <cp:keywords/>
  <dc:description/>
  <cp:lastModifiedBy>Paul Newson</cp:lastModifiedBy>
  <cp:revision>4</cp:revision>
  <dcterms:created xsi:type="dcterms:W3CDTF">2026-01-15T10:07:00Z</dcterms:created>
  <dcterms:modified xsi:type="dcterms:W3CDTF">2026-01-20T16:15:00Z</dcterms:modified>
</cp:coreProperties>
</file>