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F13A8" w14:textId="77777777" w:rsidR="002A672B" w:rsidRPr="002A672B" w:rsidRDefault="002A672B" w:rsidP="00A3355D">
      <w:pPr>
        <w:tabs>
          <w:tab w:val="left" w:pos="474"/>
        </w:tabs>
        <w:spacing w:after="0" w:line="240" w:lineRule="auto"/>
        <w:contextualSpacing/>
        <w:rPr>
          <w:rFonts w:ascii="Times New Roman" w:hAnsi="Times New Roman"/>
          <w:sz w:val="24"/>
          <w:szCs w:val="24"/>
          <w:lang w:val="en-GB"/>
        </w:rPr>
      </w:pPr>
    </w:p>
    <w:p w14:paraId="702207DE" w14:textId="77777777" w:rsidR="002A672B" w:rsidRPr="002A672B" w:rsidRDefault="002A672B" w:rsidP="00A3355D">
      <w:pPr>
        <w:spacing w:after="0" w:line="240" w:lineRule="auto"/>
        <w:contextualSpacing/>
        <w:jc w:val="center"/>
        <w:rPr>
          <w:rFonts w:ascii="Times New Roman" w:hAnsi="Times New Roman"/>
          <w:b/>
          <w:sz w:val="24"/>
          <w:szCs w:val="24"/>
          <w:lang w:val="en-GB"/>
        </w:rPr>
      </w:pPr>
      <w:r w:rsidRPr="002A672B">
        <w:rPr>
          <w:rFonts w:ascii="Times New Roman" w:hAnsi="Times New Roman"/>
          <w:b/>
          <w:noProof/>
          <w:sz w:val="24"/>
          <w:szCs w:val="24"/>
          <w:lang w:val="en-GB"/>
        </w:rPr>
        <w:drawing>
          <wp:inline distT="0" distB="0" distL="0" distR="0" wp14:anchorId="324628EC" wp14:editId="489CC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7">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494C8CE"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3AE87C19" w14:textId="34B45A96" w:rsidR="002A672B" w:rsidRPr="002A672B" w:rsidRDefault="002A672B" w:rsidP="00A3355D">
      <w:pPr>
        <w:spacing w:after="0" w:line="240" w:lineRule="auto"/>
        <w:contextualSpacing/>
        <w:jc w:val="center"/>
        <w:rPr>
          <w:rFonts w:ascii="Times New Roman" w:hAnsi="Times New Roman"/>
          <w:b/>
          <w:sz w:val="36"/>
          <w:szCs w:val="36"/>
          <w:lang w:val="en-GB"/>
        </w:rPr>
      </w:pPr>
      <w:r w:rsidRPr="002A672B">
        <w:rPr>
          <w:rFonts w:ascii="Times New Roman" w:hAnsi="Times New Roman"/>
          <w:b/>
          <w:sz w:val="36"/>
          <w:szCs w:val="36"/>
          <w:lang w:val="en-GB"/>
        </w:rPr>
        <w:t xml:space="preserve">Inside Story – </w:t>
      </w:r>
      <w:r w:rsidRPr="00CA4BC8">
        <w:rPr>
          <w:rFonts w:ascii="Times New Roman" w:hAnsi="Times New Roman"/>
          <w:b/>
          <w:sz w:val="36"/>
          <w:szCs w:val="36"/>
          <w:lang w:val="en-GB"/>
        </w:rPr>
        <w:t>January</w:t>
      </w:r>
      <w:r w:rsidRPr="002A672B">
        <w:rPr>
          <w:rFonts w:ascii="Times New Roman" w:hAnsi="Times New Roman"/>
          <w:b/>
          <w:sz w:val="36"/>
          <w:szCs w:val="36"/>
          <w:lang w:val="en-GB"/>
        </w:rPr>
        <w:t xml:space="preserve"> 2026</w:t>
      </w:r>
    </w:p>
    <w:p w14:paraId="03EDAF31" w14:textId="77777777" w:rsidR="002A672B" w:rsidRPr="002A672B" w:rsidRDefault="002A672B" w:rsidP="00A3355D">
      <w:pPr>
        <w:spacing w:after="0" w:line="240" w:lineRule="auto"/>
        <w:contextualSpacing/>
        <w:jc w:val="center"/>
        <w:rPr>
          <w:rFonts w:ascii="Times New Roman" w:hAnsi="Times New Roman"/>
          <w:b/>
          <w:sz w:val="24"/>
          <w:szCs w:val="24"/>
          <w:lang w:val="en-GB"/>
        </w:rPr>
      </w:pPr>
    </w:p>
    <w:p w14:paraId="66818384" w14:textId="77777777" w:rsidR="00CA4BC8" w:rsidRDefault="002A672B" w:rsidP="00A3355D">
      <w:pPr>
        <w:spacing w:after="0" w:line="240" w:lineRule="auto"/>
        <w:jc w:val="center"/>
        <w:rPr>
          <w:rFonts w:ascii="Times New Roman" w:hAnsi="Times New Roman"/>
          <w:b/>
          <w:bCs/>
          <w:sz w:val="28"/>
          <w:szCs w:val="28"/>
          <w:lang w:val="en-GB"/>
        </w:rPr>
      </w:pPr>
      <w:r>
        <w:rPr>
          <w:rFonts w:ascii="Times New Roman" w:hAnsi="Times New Roman"/>
          <w:b/>
          <w:bCs/>
          <w:sz w:val="28"/>
          <w:szCs w:val="28"/>
          <w:lang w:val="en-GB"/>
        </w:rPr>
        <w:t>T</w:t>
      </w:r>
      <w:r w:rsidRPr="002A672B">
        <w:rPr>
          <w:rFonts w:ascii="Times New Roman" w:hAnsi="Times New Roman"/>
          <w:b/>
          <w:bCs/>
          <w:sz w:val="28"/>
          <w:szCs w:val="28"/>
          <w:lang w:val="en-GB"/>
        </w:rPr>
        <w:t xml:space="preserve">he </w:t>
      </w:r>
      <w:r>
        <w:rPr>
          <w:rFonts w:ascii="Times New Roman" w:hAnsi="Times New Roman"/>
          <w:b/>
          <w:bCs/>
          <w:sz w:val="28"/>
          <w:szCs w:val="28"/>
          <w:lang w:val="en-GB"/>
        </w:rPr>
        <w:t>‘</w:t>
      </w:r>
      <w:r w:rsidRPr="002A672B">
        <w:rPr>
          <w:rFonts w:ascii="Times New Roman" w:hAnsi="Times New Roman"/>
          <w:b/>
          <w:bCs/>
          <w:sz w:val="28"/>
          <w:szCs w:val="28"/>
          <w:lang w:val="en-GB"/>
        </w:rPr>
        <w:t>Common Social Interest</w:t>
      </w:r>
      <w:r>
        <w:rPr>
          <w:rFonts w:ascii="Times New Roman" w:hAnsi="Times New Roman"/>
          <w:b/>
          <w:bCs/>
          <w:sz w:val="28"/>
          <w:szCs w:val="28"/>
          <w:lang w:val="en-GB"/>
        </w:rPr>
        <w:t>’ under Directive (EU) 2019/2013:</w:t>
      </w:r>
    </w:p>
    <w:p w14:paraId="202F63B5" w14:textId="4687E5A3" w:rsidR="002A672B" w:rsidRPr="002A672B" w:rsidRDefault="002A672B" w:rsidP="00A3355D">
      <w:pPr>
        <w:spacing w:after="0" w:line="240" w:lineRule="auto"/>
        <w:jc w:val="center"/>
        <w:rPr>
          <w:rFonts w:ascii="Times New Roman" w:hAnsi="Times New Roman"/>
          <w:b/>
          <w:bCs/>
          <w:sz w:val="28"/>
          <w:szCs w:val="28"/>
          <w:lang w:val="en-GB"/>
        </w:rPr>
      </w:pPr>
      <w:r w:rsidRPr="002A672B">
        <w:rPr>
          <w:rFonts w:ascii="Times New Roman" w:hAnsi="Times New Roman"/>
          <w:b/>
          <w:bCs/>
          <w:sz w:val="28"/>
          <w:szCs w:val="28"/>
          <w:lang w:val="en-GB"/>
        </w:rPr>
        <w:t xml:space="preserve">Why Directors </w:t>
      </w:r>
      <w:r>
        <w:rPr>
          <w:rFonts w:ascii="Times New Roman" w:hAnsi="Times New Roman"/>
          <w:b/>
          <w:bCs/>
          <w:sz w:val="28"/>
          <w:szCs w:val="28"/>
          <w:lang w:val="en-GB"/>
        </w:rPr>
        <w:t>have to</w:t>
      </w:r>
      <w:r w:rsidRPr="002A672B">
        <w:rPr>
          <w:rFonts w:ascii="Times New Roman" w:hAnsi="Times New Roman"/>
          <w:b/>
          <w:bCs/>
          <w:sz w:val="28"/>
          <w:szCs w:val="28"/>
          <w:lang w:val="en-GB"/>
        </w:rPr>
        <w:t xml:space="preserve"> Promote Negotiations</w:t>
      </w:r>
      <w:r>
        <w:rPr>
          <w:rFonts w:ascii="Times New Roman" w:hAnsi="Times New Roman"/>
          <w:b/>
          <w:bCs/>
          <w:sz w:val="28"/>
          <w:szCs w:val="28"/>
          <w:lang w:val="en-GB"/>
        </w:rPr>
        <w:t>?</w:t>
      </w:r>
    </w:p>
    <w:p w14:paraId="09EFF132" w14:textId="77777777" w:rsidR="002A672B" w:rsidRPr="002A672B" w:rsidRDefault="002A672B" w:rsidP="00A3355D">
      <w:pPr>
        <w:spacing w:after="0" w:line="240" w:lineRule="auto"/>
        <w:contextualSpacing/>
        <w:jc w:val="center"/>
        <w:rPr>
          <w:rFonts w:ascii="Times New Roman" w:hAnsi="Times New Roman"/>
          <w:sz w:val="24"/>
          <w:szCs w:val="24"/>
          <w:lang w:val="en-GB"/>
        </w:rPr>
      </w:pPr>
    </w:p>
    <w:p w14:paraId="0F43B373" w14:textId="392F7265" w:rsidR="002A672B" w:rsidRPr="002A672B" w:rsidRDefault="002A672B" w:rsidP="00A3355D">
      <w:pPr>
        <w:spacing w:after="0" w:line="240" w:lineRule="auto"/>
        <w:jc w:val="both"/>
        <w:rPr>
          <w:rFonts w:ascii="Times New Roman" w:hAnsi="Times New Roman" w:cs="Times New Roman"/>
          <w:i/>
          <w:iCs/>
          <w:kern w:val="0"/>
          <w:sz w:val="24"/>
          <w:szCs w:val="24"/>
          <w:lang w:val="en-GB" w:bidi="ar-SA"/>
          <w14:ligatures w14:val="none"/>
        </w:rPr>
      </w:pPr>
      <w:r w:rsidRPr="002A672B">
        <w:rPr>
          <w:rFonts w:ascii="Times New Roman" w:hAnsi="Times New Roman" w:cs="Times New Roman"/>
          <w:i/>
          <w:iCs/>
          <w:kern w:val="0"/>
          <w:lang w:val="en-GB" w:bidi="ar-SA"/>
          <w14:ligatures w14:val="none"/>
        </w:rPr>
        <w:t xml:space="preserve">José Gonçalves Machado, </w:t>
      </w:r>
      <w:r>
        <w:rPr>
          <w:rFonts w:ascii="Times New Roman" w:hAnsi="Times New Roman" w:cs="Times New Roman"/>
          <w:i/>
          <w:iCs/>
          <w:kern w:val="0"/>
          <w:lang w:val="en-GB" w:bidi="ar-SA"/>
          <w14:ligatures w14:val="none"/>
        </w:rPr>
        <w:t xml:space="preserve">Professor, Lusófona University (Lisbon); </w:t>
      </w:r>
      <w:r w:rsidRPr="002A672B">
        <w:rPr>
          <w:rFonts w:ascii="Times New Roman" w:hAnsi="Times New Roman" w:cs="Times New Roman"/>
          <w:i/>
          <w:iCs/>
          <w:kern w:val="0"/>
          <w:lang w:bidi="ar-SA"/>
          <w14:ligatures w14:val="none"/>
        </w:rPr>
        <w:t xml:space="preserve">Researcher, CEAD – </w:t>
      </w:r>
      <w:r w:rsidRPr="002A672B">
        <w:rPr>
          <w:rFonts w:ascii="Times New Roman" w:hAnsi="Times New Roman" w:cs="Times New Roman"/>
          <w:i/>
          <w:iCs/>
          <w:kern w:val="0"/>
          <w:sz w:val="24"/>
          <w:szCs w:val="24"/>
          <w:lang w:bidi="ar-SA"/>
          <w14:ligatures w14:val="none"/>
        </w:rPr>
        <w:t xml:space="preserve">Francisco Suárez; </w:t>
      </w:r>
      <w:r w:rsidRPr="002A672B">
        <w:rPr>
          <w:rFonts w:ascii="Times New Roman" w:hAnsi="Times New Roman" w:cs="Times New Roman"/>
          <w:i/>
          <w:iCs/>
          <w:kern w:val="0"/>
          <w:sz w:val="24"/>
          <w:szCs w:val="24"/>
          <w:lang w:val="en-GB" w:bidi="ar-SA"/>
          <w14:ligatures w14:val="none"/>
        </w:rPr>
        <w:t>Of Counsel, RSA – LP. Email: &lt;josemachado@rsa-lp.com&gt;.</w:t>
      </w:r>
    </w:p>
    <w:p w14:paraId="78E61203" w14:textId="77777777" w:rsidR="002A672B" w:rsidRPr="002A672B" w:rsidRDefault="002A672B" w:rsidP="00A3355D">
      <w:pPr>
        <w:tabs>
          <w:tab w:val="left" w:pos="474"/>
        </w:tabs>
        <w:spacing w:after="0" w:line="240" w:lineRule="auto"/>
        <w:jc w:val="both"/>
        <w:rPr>
          <w:rFonts w:asciiTheme="majorBidi" w:eastAsia="Times New Roman" w:hAnsiTheme="majorBidi" w:cstheme="majorBidi"/>
          <w:kern w:val="0"/>
          <w:sz w:val="24"/>
          <w:szCs w:val="24"/>
          <w:lang w:val="en-GB" w:eastAsia="en-GB" w:bidi="ar-SA"/>
          <w14:ligatures w14:val="none"/>
        </w:rPr>
      </w:pPr>
    </w:p>
    <w:p w14:paraId="3E3DB19E" w14:textId="1CCA446A" w:rsidR="002A672B" w:rsidRP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Introduction</w:t>
      </w:r>
    </w:p>
    <w:p w14:paraId="5FAA43B7" w14:textId="77777777" w:rsidR="00300EF6" w:rsidRDefault="00300EF6" w:rsidP="00A3355D">
      <w:pPr>
        <w:spacing w:after="0" w:line="240" w:lineRule="auto"/>
        <w:jc w:val="both"/>
        <w:rPr>
          <w:rFonts w:asciiTheme="majorBidi" w:hAnsiTheme="majorBidi" w:cstheme="majorBidi"/>
          <w:sz w:val="24"/>
          <w:szCs w:val="24"/>
          <w:lang w:val="en-GB"/>
        </w:rPr>
      </w:pPr>
    </w:p>
    <w:p w14:paraId="5FD3BE95" w14:textId="16AF5706"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 xml:space="preserve">Preventive restructuring frameworks introduced by Directive (EU) 2019/1023 reflect a decisive shift in European insolvency policy. Rather than concentrating on </w:t>
      </w:r>
      <w:r w:rsidRPr="00CA4BC8">
        <w:rPr>
          <w:rFonts w:asciiTheme="majorBidi" w:hAnsiTheme="majorBidi" w:cstheme="majorBidi"/>
          <w:i/>
          <w:iCs/>
          <w:sz w:val="24"/>
          <w:szCs w:val="24"/>
          <w:lang w:val="en-GB"/>
        </w:rPr>
        <w:t xml:space="preserve">ex post </w:t>
      </w:r>
      <w:r w:rsidRPr="002A672B">
        <w:rPr>
          <w:rFonts w:asciiTheme="majorBidi" w:hAnsiTheme="majorBidi" w:cstheme="majorBidi"/>
          <w:sz w:val="24"/>
          <w:szCs w:val="24"/>
          <w:lang w:val="en-GB"/>
        </w:rPr>
        <w:t>liquidation and loss allocation, the Directive prioritises early intervention, negotiated solutions and the preservation of viable businesses. This change inevitably places corporate directors at the centre of the pre-insolvency landscape.</w:t>
      </w:r>
    </w:p>
    <w:p w14:paraId="41F910CE" w14:textId="77777777" w:rsidR="00300EF6" w:rsidRDefault="00300EF6" w:rsidP="00A3355D">
      <w:pPr>
        <w:spacing w:after="0" w:line="240" w:lineRule="auto"/>
        <w:jc w:val="both"/>
        <w:rPr>
          <w:rFonts w:asciiTheme="majorBidi" w:hAnsiTheme="majorBidi" w:cstheme="majorBidi"/>
          <w:sz w:val="24"/>
          <w:szCs w:val="24"/>
          <w:lang w:val="en-GB"/>
        </w:rPr>
      </w:pPr>
    </w:p>
    <w:p w14:paraId="59433F35" w14:textId="119F4EF9" w:rsid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While the Directive does not seek to harmonise national regimes of directors’ liability, it does establish, in Article 19, a set of minimum behavioural standards applicable once a likelihood of insolvency arises. These standards raise a fundamental question: do directors merely have to refrain from harmful conduct, or are they also expected to actively promote negotiations aimed at recovery within preventive restructuring frameworks?</w:t>
      </w:r>
    </w:p>
    <w:p w14:paraId="27A56F24" w14:textId="77777777" w:rsidR="00CA4BC8" w:rsidRPr="002A672B" w:rsidRDefault="00CA4BC8" w:rsidP="00A3355D">
      <w:pPr>
        <w:spacing w:after="0" w:line="240" w:lineRule="auto"/>
        <w:jc w:val="both"/>
        <w:rPr>
          <w:rFonts w:asciiTheme="majorBidi" w:hAnsiTheme="majorBidi" w:cstheme="majorBidi"/>
          <w:sz w:val="24"/>
          <w:szCs w:val="24"/>
          <w:lang w:val="en-GB"/>
        </w:rPr>
      </w:pPr>
    </w:p>
    <w:p w14:paraId="03DCAF5F" w14:textId="77777777"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 xml:space="preserve">This article argues that Article 19 supports the latter view. More specifically, it contends that the duty to promote negotiations in the pre-insolvency phase is best explained not by a simple reorientation of fiduciary duties towards creditors, but by the emergence of a </w:t>
      </w:r>
      <w:r w:rsidRPr="002A672B">
        <w:rPr>
          <w:rFonts w:asciiTheme="majorBidi" w:hAnsiTheme="majorBidi" w:cstheme="majorBidi"/>
          <w:b/>
          <w:bCs/>
          <w:sz w:val="24"/>
          <w:szCs w:val="24"/>
          <w:lang w:val="en-GB"/>
        </w:rPr>
        <w:t>common social interest</w:t>
      </w:r>
      <w:r w:rsidRPr="002A672B">
        <w:rPr>
          <w:rFonts w:asciiTheme="majorBidi" w:hAnsiTheme="majorBidi" w:cstheme="majorBidi"/>
          <w:sz w:val="24"/>
          <w:szCs w:val="24"/>
          <w:lang w:val="en-GB"/>
        </w:rPr>
        <w:t xml:space="preserve"> shared by all stakeholders exposed to the debtor’s financial distress.</w:t>
      </w:r>
    </w:p>
    <w:p w14:paraId="44407E31" w14:textId="57477404" w:rsidR="002A672B" w:rsidRPr="002A672B" w:rsidRDefault="002A672B" w:rsidP="00A3355D">
      <w:pPr>
        <w:spacing w:after="0" w:line="240" w:lineRule="auto"/>
        <w:jc w:val="both"/>
        <w:rPr>
          <w:rFonts w:asciiTheme="majorBidi" w:hAnsiTheme="majorBidi" w:cstheme="majorBidi"/>
          <w:sz w:val="24"/>
          <w:szCs w:val="24"/>
          <w:lang w:val="en-GB"/>
        </w:rPr>
      </w:pPr>
    </w:p>
    <w:p w14:paraId="7935FDDB" w14:textId="37149CBB" w:rsidR="002A672B" w:rsidRP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Article 19 of Directive 2019/1023: A Preventive and Open-Ended Norm</w:t>
      </w:r>
    </w:p>
    <w:p w14:paraId="64751CBB" w14:textId="77777777" w:rsidR="00300EF6" w:rsidRDefault="00300EF6" w:rsidP="00A3355D">
      <w:pPr>
        <w:spacing w:after="0" w:line="240" w:lineRule="auto"/>
        <w:jc w:val="both"/>
        <w:rPr>
          <w:rFonts w:asciiTheme="majorBidi" w:hAnsiTheme="majorBidi" w:cstheme="majorBidi"/>
          <w:sz w:val="24"/>
          <w:szCs w:val="24"/>
          <w:lang w:val="en-GB"/>
        </w:rPr>
      </w:pPr>
    </w:p>
    <w:p w14:paraId="113865A5" w14:textId="7A91BA94" w:rsid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Article 19 of Directive 2019/1023 is deliberately framed in broad and flexible terms. It does not prescribe specific actions, nor does it define a uniform standard of liability. Instead, it provides a normative framework intended to guide directors’ decision-making when insolvency becomes likely</w:t>
      </w:r>
      <w:r w:rsidR="00A3355D">
        <w:rPr>
          <w:rFonts w:asciiTheme="majorBidi" w:hAnsiTheme="majorBidi" w:cstheme="majorBidi"/>
          <w:sz w:val="24"/>
          <w:szCs w:val="24"/>
          <w:lang w:val="en-GB"/>
        </w:rPr>
        <w:t>.</w:t>
      </w:r>
      <w:r w:rsidR="00300EF6">
        <w:rPr>
          <w:rStyle w:val="FootnoteReference"/>
          <w:rFonts w:asciiTheme="majorBidi" w:hAnsiTheme="majorBidi" w:cstheme="majorBidi"/>
          <w:sz w:val="24"/>
          <w:szCs w:val="24"/>
          <w:lang w:val="en-GB"/>
        </w:rPr>
        <w:footnoteReference w:id="1"/>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 xml:space="preserve">Under this provision, directors are required to have due regard </w:t>
      </w:r>
      <w:r w:rsidRPr="002A672B">
        <w:rPr>
          <w:rFonts w:asciiTheme="majorBidi" w:hAnsiTheme="majorBidi" w:cstheme="majorBidi"/>
          <w:sz w:val="24"/>
          <w:szCs w:val="24"/>
          <w:lang w:val="en-GB"/>
        </w:rPr>
        <w:lastRenderedPageBreak/>
        <w:t>to the interests of creditors, shareholders and other stakeholders, to take appropriate steps to avoid insolvency, and to refrain from deliberate or grossly negligent conduct that threatens the viability of the business. At first glance, these duties appear predominantly defensive, focused on limiting harmful behaviour rather than encouraging proactive engagement.</w:t>
      </w:r>
    </w:p>
    <w:p w14:paraId="487C6046" w14:textId="77777777" w:rsidR="00300EF6" w:rsidRPr="002A672B" w:rsidRDefault="00300EF6" w:rsidP="00A3355D">
      <w:pPr>
        <w:spacing w:after="0" w:line="240" w:lineRule="auto"/>
        <w:jc w:val="both"/>
        <w:rPr>
          <w:rFonts w:asciiTheme="majorBidi" w:hAnsiTheme="majorBidi" w:cstheme="majorBidi"/>
          <w:sz w:val="24"/>
          <w:szCs w:val="24"/>
          <w:lang w:val="en-GB"/>
        </w:rPr>
      </w:pPr>
    </w:p>
    <w:p w14:paraId="3BA01281" w14:textId="77777777"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Such a reading, however, fails to take account of the broader regulatory context in which Article 19 operates. The Directive is built around preventive restructuring frameworks whose effectiveness depends on timely and structured negotiations among affected parties. These frameworks presuppose active managerial involvement. In many cases, insolvency can only be avoided through negotiations leading to a restructuring plan.</w:t>
      </w:r>
    </w:p>
    <w:p w14:paraId="47DEC0B7" w14:textId="77777777" w:rsidR="003D38CA" w:rsidRDefault="003D38CA" w:rsidP="00A3355D">
      <w:pPr>
        <w:spacing w:after="0" w:line="240" w:lineRule="auto"/>
        <w:jc w:val="both"/>
        <w:rPr>
          <w:rFonts w:asciiTheme="majorBidi" w:hAnsiTheme="majorBidi" w:cstheme="majorBidi"/>
          <w:sz w:val="24"/>
          <w:szCs w:val="24"/>
          <w:lang w:val="en-GB"/>
        </w:rPr>
      </w:pPr>
    </w:p>
    <w:p w14:paraId="06F2B51C" w14:textId="45FA5A92"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Against this background, the obligation to take appropriate steps to avoid insolvency cannot be reduced to a duty of abstention. Where negotiations represent a reasonable and proportionate means of preserving a viable business, Article 19 points towards a positive expectation of conduct: directors are expected to facilitate and promote those negotiations in good faith</w:t>
      </w:r>
      <w:r w:rsidR="00A3355D">
        <w:rPr>
          <w:rFonts w:asciiTheme="majorBidi" w:hAnsiTheme="majorBidi" w:cstheme="majorBidi"/>
          <w:sz w:val="24"/>
          <w:szCs w:val="24"/>
          <w:lang w:val="en-GB"/>
        </w:rPr>
        <w:t>.</w:t>
      </w:r>
      <w:r w:rsidR="003D38CA">
        <w:rPr>
          <w:rStyle w:val="FootnoteReference"/>
          <w:rFonts w:asciiTheme="majorBidi" w:hAnsiTheme="majorBidi" w:cstheme="majorBidi"/>
          <w:sz w:val="24"/>
          <w:szCs w:val="24"/>
          <w:lang w:val="en-GB"/>
        </w:rPr>
        <w:footnoteReference w:id="2"/>
      </w:r>
    </w:p>
    <w:p w14:paraId="281AA946" w14:textId="6B3AA6F4" w:rsidR="002A672B" w:rsidRPr="002A672B" w:rsidRDefault="002A672B" w:rsidP="00A3355D">
      <w:pPr>
        <w:spacing w:after="0" w:line="240" w:lineRule="auto"/>
        <w:jc w:val="both"/>
        <w:rPr>
          <w:rFonts w:asciiTheme="majorBidi" w:hAnsiTheme="majorBidi" w:cstheme="majorBidi"/>
          <w:sz w:val="24"/>
          <w:szCs w:val="24"/>
          <w:lang w:val="en-GB"/>
        </w:rPr>
      </w:pPr>
    </w:p>
    <w:p w14:paraId="21DC9B74" w14:textId="0958AD86" w:rsid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Promoting Negotiations: Procedural and Substantive Expectations</w:t>
      </w:r>
    </w:p>
    <w:p w14:paraId="340FF832" w14:textId="77777777" w:rsidR="00300EF6" w:rsidRPr="002A672B" w:rsidRDefault="00300EF6" w:rsidP="00A3355D">
      <w:pPr>
        <w:spacing w:after="0" w:line="240" w:lineRule="auto"/>
        <w:jc w:val="both"/>
        <w:rPr>
          <w:rFonts w:asciiTheme="majorBidi" w:hAnsiTheme="majorBidi" w:cstheme="majorBidi"/>
          <w:i/>
          <w:iCs/>
          <w:sz w:val="24"/>
          <w:szCs w:val="24"/>
          <w:lang w:val="en-GB"/>
        </w:rPr>
      </w:pPr>
    </w:p>
    <w:p w14:paraId="61394A68" w14:textId="3CB89CB7"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The duty to promote negotiations in a preventive restructuring context operates on two interconnected levels.</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On a procedural level, directors are expected to ensure that negotiations can take place in an orderly and meaningful manner. This includes facilitating timely exchanges of information, respecting the procedural constraints of the restructuring instrument chosen, and refraining from unilateral actions that undermine collective bargaining. The scope of managerial discretion varies across frameworks, but in all cases directors play a decisive coordinating role</w:t>
      </w:r>
      <w:r w:rsidR="00A3355D">
        <w:rPr>
          <w:rFonts w:asciiTheme="majorBidi" w:hAnsiTheme="majorBidi" w:cstheme="majorBidi"/>
          <w:sz w:val="24"/>
          <w:szCs w:val="24"/>
          <w:lang w:val="en-GB"/>
        </w:rPr>
        <w:t>.</w:t>
      </w:r>
      <w:r w:rsidR="003D38CA">
        <w:rPr>
          <w:rStyle w:val="FootnoteReference"/>
          <w:rFonts w:asciiTheme="majorBidi" w:hAnsiTheme="majorBidi" w:cstheme="majorBidi"/>
          <w:sz w:val="24"/>
          <w:szCs w:val="24"/>
          <w:lang w:val="en-GB"/>
        </w:rPr>
        <w:footnoteReference w:id="3"/>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On a substantive level, directors are expected to engage constructively with the content of negotiations. Preventive restructuring presupposes more than formal participation. It requires directors to assess, present and support restructuring measures that are economically realistic and aligned with the objective of recovery. This may include debt rescheduling, operational restructuring, new financing or, where appropriate, debt-equity conversions.</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What matters is not the success of negotiations as such, but the quality of conduct. Proposals must be serious, proportionate and grounded in the economic reality of the business. Conduct that is manifestly obstructive, dilatory or opportunistic is difficult to reconcile with the preventive logic of the Directive</w:t>
      </w:r>
      <w:r w:rsidR="00A3355D">
        <w:rPr>
          <w:rFonts w:asciiTheme="majorBidi" w:hAnsiTheme="majorBidi" w:cstheme="majorBidi"/>
          <w:sz w:val="24"/>
          <w:szCs w:val="24"/>
          <w:lang w:val="en-GB"/>
        </w:rPr>
        <w:t>.</w:t>
      </w:r>
      <w:r w:rsidR="003D38CA">
        <w:rPr>
          <w:rStyle w:val="FootnoteReference"/>
          <w:rFonts w:asciiTheme="majorBidi" w:hAnsiTheme="majorBidi" w:cstheme="majorBidi"/>
          <w:sz w:val="24"/>
          <w:szCs w:val="24"/>
          <w:lang w:val="en-GB"/>
        </w:rPr>
        <w:footnoteReference w:id="4"/>
      </w:r>
    </w:p>
    <w:p w14:paraId="6DE873DC" w14:textId="01D4AEED" w:rsidR="002A672B" w:rsidRPr="002A672B" w:rsidRDefault="002A672B" w:rsidP="00A3355D">
      <w:pPr>
        <w:spacing w:after="0" w:line="240" w:lineRule="auto"/>
        <w:jc w:val="both"/>
        <w:rPr>
          <w:rFonts w:asciiTheme="majorBidi" w:hAnsiTheme="majorBidi" w:cstheme="majorBidi"/>
          <w:sz w:val="24"/>
          <w:szCs w:val="24"/>
          <w:lang w:val="en-GB"/>
        </w:rPr>
      </w:pPr>
    </w:p>
    <w:p w14:paraId="09B1B756" w14:textId="13D39913" w:rsidR="002A672B" w:rsidRP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The Shift of Fiduciary Duties: A Partial Rationale</w:t>
      </w:r>
    </w:p>
    <w:p w14:paraId="1EF2B0FC" w14:textId="77777777" w:rsidR="00300EF6" w:rsidRDefault="00300EF6" w:rsidP="00A3355D">
      <w:pPr>
        <w:spacing w:after="0" w:line="240" w:lineRule="auto"/>
        <w:jc w:val="both"/>
        <w:rPr>
          <w:rFonts w:asciiTheme="majorBidi" w:hAnsiTheme="majorBidi" w:cstheme="majorBidi"/>
          <w:sz w:val="24"/>
          <w:szCs w:val="24"/>
          <w:lang w:val="en-GB"/>
        </w:rPr>
      </w:pPr>
    </w:p>
    <w:p w14:paraId="18C6183E" w14:textId="4D6E3A48" w:rsid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 xml:space="preserve">One possible explanation for a duty to promote negotiations lies in the notion of a </w:t>
      </w:r>
      <w:r w:rsidRPr="002A672B">
        <w:rPr>
          <w:rFonts w:asciiTheme="majorBidi" w:hAnsiTheme="majorBidi" w:cstheme="majorBidi"/>
          <w:i/>
          <w:iCs/>
          <w:sz w:val="24"/>
          <w:szCs w:val="24"/>
          <w:lang w:val="en-GB"/>
        </w:rPr>
        <w:t>shift of fiduciary duties</w:t>
      </w:r>
      <w:r w:rsidRPr="002A672B">
        <w:rPr>
          <w:rFonts w:asciiTheme="majorBidi" w:hAnsiTheme="majorBidi" w:cstheme="majorBidi"/>
          <w:sz w:val="24"/>
          <w:szCs w:val="24"/>
          <w:lang w:val="en-GB"/>
        </w:rPr>
        <w:t xml:space="preserve"> as insolvency approaches. According to this view, directors’ duties progressively reorient from shareholders towards creditors, reflecting the relocation of </w:t>
      </w:r>
      <w:r w:rsidRPr="002A672B">
        <w:rPr>
          <w:rFonts w:asciiTheme="majorBidi" w:hAnsiTheme="majorBidi" w:cstheme="majorBidi"/>
          <w:sz w:val="24"/>
          <w:szCs w:val="24"/>
          <w:lang w:val="en-GB"/>
        </w:rPr>
        <w:lastRenderedPageBreak/>
        <w:t>economic risk once equity is exhausted.</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This rationale captures an important aspect of pre-insolvency governance</w:t>
      </w:r>
      <w:r w:rsidR="00A3355D">
        <w:rPr>
          <w:rFonts w:asciiTheme="majorBidi" w:hAnsiTheme="majorBidi" w:cstheme="majorBidi"/>
          <w:sz w:val="24"/>
          <w:szCs w:val="24"/>
          <w:lang w:val="en-GB"/>
        </w:rPr>
        <w:t>.</w:t>
      </w:r>
      <w:r w:rsidR="00E4063F">
        <w:rPr>
          <w:rStyle w:val="FootnoteReference"/>
          <w:rFonts w:asciiTheme="majorBidi" w:hAnsiTheme="majorBidi" w:cstheme="majorBidi"/>
          <w:sz w:val="24"/>
          <w:szCs w:val="24"/>
          <w:lang w:val="en-GB"/>
        </w:rPr>
        <w:footnoteReference w:id="5"/>
      </w:r>
      <w:r w:rsidRPr="002A672B">
        <w:rPr>
          <w:rFonts w:asciiTheme="majorBidi" w:hAnsiTheme="majorBidi" w:cstheme="majorBidi"/>
          <w:sz w:val="24"/>
          <w:szCs w:val="24"/>
          <w:lang w:val="en-GB"/>
        </w:rPr>
        <w:t xml:space="preserve"> It explains why excessively risky strategies aimed at salvaging shareholder value at creditors’ expense become unacceptable in financial distress. It also resonates with insolvency law doctrines that impose liability on directors for conduct that creates or aggravates insolvency through intent or gross negligence.</w:t>
      </w:r>
    </w:p>
    <w:p w14:paraId="2C2976E7" w14:textId="77777777" w:rsidR="00300EF6" w:rsidRPr="002A672B" w:rsidRDefault="00300EF6" w:rsidP="00A3355D">
      <w:pPr>
        <w:spacing w:after="0" w:line="240" w:lineRule="auto"/>
        <w:jc w:val="both"/>
        <w:rPr>
          <w:rFonts w:asciiTheme="majorBidi" w:hAnsiTheme="majorBidi" w:cstheme="majorBidi"/>
          <w:sz w:val="24"/>
          <w:szCs w:val="24"/>
          <w:lang w:val="en-GB"/>
        </w:rPr>
      </w:pPr>
    </w:p>
    <w:p w14:paraId="544C20A7" w14:textId="7EA2543F"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However, as a foundation for preventive restructuring, this explanation remains incomplete. Preventive frameworks are not designed primarily to protect creditors against loss. Their objective is broader: to preserve viable businesses through coordinated solutions that may benefit creditors, shareholders and other stakeholders alike. In practice, creditors may prefer liquidation, while recovery may still represent the economically and socially superior outcome.</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A simple reallocation of fiduciary duties in favour of creditors therefore fails to capture the multi-stakeholder logic of preventive restructuring. It may justify limits on managerial risk-taking, but it does not explain why directors should actively support negotiations aimed at recovery.</w:t>
      </w:r>
      <w:r w:rsidR="00FD2453">
        <w:rPr>
          <w:rStyle w:val="FootnoteReference"/>
          <w:rFonts w:asciiTheme="majorBidi" w:hAnsiTheme="majorBidi" w:cstheme="majorBidi"/>
          <w:sz w:val="24"/>
          <w:szCs w:val="24"/>
          <w:lang w:val="en-GB"/>
        </w:rPr>
        <w:footnoteReference w:id="6"/>
      </w:r>
    </w:p>
    <w:p w14:paraId="078D8708" w14:textId="2A6353FB" w:rsidR="002A672B" w:rsidRPr="002A672B" w:rsidRDefault="002A672B" w:rsidP="00A3355D">
      <w:pPr>
        <w:spacing w:after="0" w:line="240" w:lineRule="auto"/>
        <w:jc w:val="both"/>
        <w:rPr>
          <w:rFonts w:asciiTheme="majorBidi" w:hAnsiTheme="majorBidi" w:cstheme="majorBidi"/>
          <w:sz w:val="24"/>
          <w:szCs w:val="24"/>
          <w:lang w:val="en-GB"/>
        </w:rPr>
      </w:pPr>
    </w:p>
    <w:p w14:paraId="5B81F8A6" w14:textId="09A72ED2" w:rsidR="002A672B" w:rsidRP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The Common Social Interest in Preventive Restructuring</w:t>
      </w:r>
    </w:p>
    <w:p w14:paraId="5E7A2F39" w14:textId="77777777" w:rsidR="00300EF6" w:rsidRDefault="00300EF6" w:rsidP="00A3355D">
      <w:pPr>
        <w:spacing w:after="0" w:line="240" w:lineRule="auto"/>
        <w:jc w:val="both"/>
        <w:rPr>
          <w:rFonts w:asciiTheme="majorBidi" w:hAnsiTheme="majorBidi" w:cstheme="majorBidi"/>
          <w:sz w:val="24"/>
          <w:szCs w:val="24"/>
          <w:lang w:val="en-GB"/>
        </w:rPr>
      </w:pPr>
    </w:p>
    <w:p w14:paraId="68DC8C36" w14:textId="237C6EFC" w:rsid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 xml:space="preserve">A more convincing and integrative explanation is found in the concept of a </w:t>
      </w:r>
      <w:r w:rsidRPr="00A3355D">
        <w:rPr>
          <w:rFonts w:asciiTheme="majorBidi" w:hAnsiTheme="majorBidi" w:cstheme="majorBidi"/>
          <w:i/>
          <w:iCs/>
          <w:sz w:val="24"/>
          <w:szCs w:val="24"/>
          <w:lang w:val="en-GB"/>
        </w:rPr>
        <w:t>common social interest</w:t>
      </w:r>
      <w:r w:rsidR="00A3355D">
        <w:rPr>
          <w:rFonts w:asciiTheme="majorBidi" w:hAnsiTheme="majorBidi" w:cstheme="majorBidi"/>
          <w:sz w:val="24"/>
          <w:szCs w:val="24"/>
          <w:lang w:val="en-GB"/>
        </w:rPr>
        <w:t>.</w:t>
      </w:r>
      <w:r w:rsidR="00FD2453">
        <w:rPr>
          <w:rStyle w:val="FootnoteReference"/>
          <w:rFonts w:asciiTheme="majorBidi" w:hAnsiTheme="majorBidi" w:cstheme="majorBidi"/>
          <w:sz w:val="24"/>
          <w:szCs w:val="24"/>
          <w:lang w:val="en-GB"/>
        </w:rPr>
        <w:footnoteReference w:id="7"/>
      </w:r>
      <w:r w:rsidRPr="002A672B">
        <w:rPr>
          <w:rFonts w:asciiTheme="majorBidi" w:hAnsiTheme="majorBidi" w:cstheme="majorBidi"/>
          <w:sz w:val="24"/>
          <w:szCs w:val="24"/>
          <w:lang w:val="en-GB"/>
        </w:rPr>
        <w:t xml:space="preserve"> Once a company enters the zone of likely insolvency, all parties exposed to its financial condition face a shared risk: the potential loss of value resulting from a disorderly collapse. Preventive restructuring frameworks exist precisely to manage this shared exposure through coordinated action.</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From this perspective, preventive restructuring gives rise to a community of interests centred on a common asset: the viable enterprise. While stakeholders’ individual interests remain distinct, they converge around the objective of preserving or maximising the value of that asset. This convergence justifies reciprocal duties of cooperation and loyalty, comparable — though not identical — to those arising within the corporate sphere</w:t>
      </w:r>
      <w:r w:rsidR="00A3355D">
        <w:rPr>
          <w:rFonts w:asciiTheme="majorBidi" w:hAnsiTheme="majorBidi" w:cstheme="majorBidi"/>
          <w:sz w:val="24"/>
          <w:szCs w:val="24"/>
          <w:lang w:val="en-GB"/>
        </w:rPr>
        <w:t>.</w:t>
      </w:r>
      <w:r w:rsidR="00771B04">
        <w:rPr>
          <w:rStyle w:val="FootnoteReference"/>
          <w:rFonts w:asciiTheme="majorBidi" w:hAnsiTheme="majorBidi" w:cstheme="majorBidi"/>
          <w:sz w:val="24"/>
          <w:szCs w:val="24"/>
          <w:lang w:val="en-GB"/>
        </w:rPr>
        <w:footnoteReference w:id="8"/>
      </w:r>
    </w:p>
    <w:p w14:paraId="2F48287D" w14:textId="77777777" w:rsidR="00300EF6" w:rsidRPr="002A672B" w:rsidRDefault="00300EF6" w:rsidP="00A3355D">
      <w:pPr>
        <w:spacing w:after="0" w:line="240" w:lineRule="auto"/>
        <w:jc w:val="both"/>
        <w:rPr>
          <w:rFonts w:asciiTheme="majorBidi" w:hAnsiTheme="majorBidi" w:cstheme="majorBidi"/>
          <w:sz w:val="24"/>
          <w:szCs w:val="24"/>
          <w:lang w:val="en-GB"/>
        </w:rPr>
      </w:pPr>
    </w:p>
    <w:p w14:paraId="2DBA6880" w14:textId="00D51C89"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In this setting, directors assume a role that goes beyond the traditional agency model. They act as institutional stewards of the restructuring process. Where the enterprise is viable, they are expected to promote negotiations that offer a reasonable prospect of recovery. Strategies that unjustifiably obstruct or undermine such negotiations conflict with the common social interest underlying preventive restructuring.</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This approach aligns with scholarly accounts that conceptualise pre-insolvency restructuring as a coordination problem among parties exposed to a common danger, requiring cooperative behaviour to maximise collective outcomes.</w:t>
      </w:r>
      <w:r w:rsidR="00FD2453">
        <w:rPr>
          <w:rStyle w:val="FootnoteReference"/>
          <w:rFonts w:asciiTheme="majorBidi" w:hAnsiTheme="majorBidi" w:cstheme="majorBidi"/>
          <w:sz w:val="24"/>
          <w:szCs w:val="24"/>
          <w:lang w:val="en-GB"/>
        </w:rPr>
        <w:footnoteReference w:id="9"/>
      </w:r>
    </w:p>
    <w:p w14:paraId="6347BEA7" w14:textId="3F999422" w:rsidR="002A672B" w:rsidRPr="002A672B" w:rsidRDefault="002A672B" w:rsidP="00A3355D">
      <w:pPr>
        <w:spacing w:after="0" w:line="240" w:lineRule="auto"/>
        <w:jc w:val="both"/>
        <w:rPr>
          <w:rFonts w:asciiTheme="majorBidi" w:hAnsiTheme="majorBidi" w:cstheme="majorBidi"/>
          <w:sz w:val="24"/>
          <w:szCs w:val="24"/>
          <w:lang w:val="en-GB"/>
        </w:rPr>
      </w:pPr>
    </w:p>
    <w:p w14:paraId="526A09CC" w14:textId="1DD31044" w:rsidR="002A672B" w:rsidRPr="002A672B" w:rsidRDefault="002A672B" w:rsidP="00A3355D">
      <w:pPr>
        <w:spacing w:after="0" w:line="240" w:lineRule="auto"/>
        <w:jc w:val="both"/>
        <w:rPr>
          <w:rFonts w:asciiTheme="majorBidi" w:hAnsiTheme="majorBidi" w:cstheme="majorBidi"/>
          <w:i/>
          <w:iCs/>
          <w:sz w:val="24"/>
          <w:szCs w:val="24"/>
          <w:lang w:val="en-GB"/>
        </w:rPr>
      </w:pPr>
      <w:r w:rsidRPr="002A672B">
        <w:rPr>
          <w:rFonts w:asciiTheme="majorBidi" w:hAnsiTheme="majorBidi" w:cstheme="majorBidi"/>
          <w:i/>
          <w:iCs/>
          <w:sz w:val="24"/>
          <w:szCs w:val="24"/>
          <w:lang w:val="en-GB"/>
        </w:rPr>
        <w:t>Re-reading Article 19 Through the Lens of the Common Social Interest</w:t>
      </w:r>
    </w:p>
    <w:p w14:paraId="0603578B" w14:textId="77777777" w:rsidR="00300EF6" w:rsidRDefault="00300EF6" w:rsidP="00A3355D">
      <w:pPr>
        <w:spacing w:after="0" w:line="240" w:lineRule="auto"/>
        <w:jc w:val="both"/>
        <w:rPr>
          <w:rFonts w:asciiTheme="majorBidi" w:hAnsiTheme="majorBidi" w:cstheme="majorBidi"/>
          <w:sz w:val="24"/>
          <w:szCs w:val="24"/>
          <w:lang w:val="en-GB"/>
        </w:rPr>
      </w:pPr>
    </w:p>
    <w:p w14:paraId="54E1DBA4" w14:textId="0D7F6D06"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Article 19 of Directive 2019/1023 accommodates this understanding. By requiring directors to have due regard to the interests of creditors, shareholders and other stakeholders, while taking steps to avoid insolvency, the provision implicitly recognises that these interests converge, in the preventive phase, around a shared objective: recovery where viable.</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Read in this light, Article 19 does not merely impose negative constraints on managerial conduct. It supports a positive expectation of cooperative behaviour aligned with the success of restructuring negotiations. The duty to promote negotiations thus emerges not as an autonomous obligation, but as a functional expression of the preventive logic embedded in the Directive.</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This duty is not absolute. Where the business is no longer viable, or where negotiations would merely delay an inevitable insolvency while increasing losses, directors may be required to refrain from pursuing restructuring. In such cases, the balance of interests may legitimately shift towards creditor protection and orderly insolvency. Where viability exists, however, the common social interest provides a principled basis for expecting directors to actively support reasonable and fair negotiations aimed at recovery.</w:t>
      </w:r>
      <w:r w:rsidR="00771B04">
        <w:rPr>
          <w:rStyle w:val="FootnoteReference"/>
          <w:rFonts w:asciiTheme="majorBidi" w:hAnsiTheme="majorBidi" w:cstheme="majorBidi"/>
          <w:sz w:val="24"/>
          <w:szCs w:val="24"/>
          <w:lang w:val="en-GB"/>
        </w:rPr>
        <w:footnoteReference w:id="10"/>
      </w:r>
    </w:p>
    <w:p w14:paraId="5B5B91C8" w14:textId="25F56970" w:rsidR="00300EF6" w:rsidRDefault="00300EF6" w:rsidP="00A3355D">
      <w:pPr>
        <w:spacing w:after="0" w:line="240" w:lineRule="auto"/>
        <w:rPr>
          <w:rFonts w:asciiTheme="majorBidi" w:hAnsiTheme="majorBidi" w:cstheme="majorBidi"/>
          <w:sz w:val="24"/>
          <w:szCs w:val="24"/>
          <w:lang w:val="en-GB"/>
        </w:rPr>
      </w:pPr>
    </w:p>
    <w:p w14:paraId="52DAC654" w14:textId="11E09413" w:rsidR="004A3AC1" w:rsidRDefault="004A3AC1" w:rsidP="00A3355D">
      <w:pPr>
        <w:spacing w:after="0" w:line="240" w:lineRule="auto"/>
        <w:rPr>
          <w:rFonts w:asciiTheme="majorBidi" w:hAnsiTheme="majorBidi" w:cstheme="majorBidi"/>
          <w:sz w:val="24"/>
          <w:szCs w:val="24"/>
          <w:lang w:val="en-GB"/>
        </w:rPr>
      </w:pPr>
      <w:r w:rsidRPr="004A3AC1">
        <w:rPr>
          <w:rFonts w:asciiTheme="majorBidi" w:hAnsiTheme="majorBidi" w:cstheme="majorBidi"/>
          <w:i/>
          <w:iCs/>
          <w:sz w:val="24"/>
          <w:szCs w:val="24"/>
          <w:lang w:val="en-GB"/>
        </w:rPr>
        <w:t>Conclusion</w:t>
      </w:r>
    </w:p>
    <w:p w14:paraId="04B94188" w14:textId="77777777" w:rsidR="004A3AC1" w:rsidRDefault="004A3AC1" w:rsidP="00A3355D">
      <w:pPr>
        <w:spacing w:after="0" w:line="240" w:lineRule="auto"/>
        <w:jc w:val="both"/>
        <w:rPr>
          <w:rFonts w:asciiTheme="majorBidi" w:hAnsiTheme="majorBidi" w:cstheme="majorBidi"/>
          <w:sz w:val="24"/>
          <w:szCs w:val="24"/>
          <w:lang w:val="en-GB"/>
        </w:rPr>
      </w:pPr>
    </w:p>
    <w:p w14:paraId="3F85A0DA" w14:textId="6F9D685A" w:rsidR="002A672B" w:rsidRPr="002A672B" w:rsidRDefault="002A672B" w:rsidP="00A3355D">
      <w:pPr>
        <w:spacing w:after="0" w:line="240" w:lineRule="auto"/>
        <w:jc w:val="both"/>
        <w:rPr>
          <w:rFonts w:asciiTheme="majorBidi" w:hAnsiTheme="majorBidi" w:cstheme="majorBidi"/>
          <w:sz w:val="24"/>
          <w:szCs w:val="24"/>
          <w:lang w:val="en-GB"/>
        </w:rPr>
      </w:pPr>
      <w:r w:rsidRPr="002A672B">
        <w:rPr>
          <w:rFonts w:asciiTheme="majorBidi" w:hAnsiTheme="majorBidi" w:cstheme="majorBidi"/>
          <w:sz w:val="24"/>
          <w:szCs w:val="24"/>
          <w:lang w:val="en-GB"/>
        </w:rPr>
        <w:t>The duty of directors to promote negotiations in the pre-insolvency phase cannot be satisfactorily explained by a single doctrinal model. The shift of fiduciary duties accounts for important constraints on managerial conduct, but it does not capture the affirmative logic of preventive restructuring.</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The concept of a common social interest offers a more coherent foundation. It reflects the collective nature of preventive frameworks, aligns with the objectives of Directive 2019/1023, and explains why directors are expected to act as facilitators of cooperative solutions where recovery remains viable.</w:t>
      </w:r>
      <w:r w:rsidR="00300EF6">
        <w:rPr>
          <w:rFonts w:asciiTheme="majorBidi" w:hAnsiTheme="majorBidi" w:cstheme="majorBidi"/>
          <w:sz w:val="24"/>
          <w:szCs w:val="24"/>
          <w:lang w:val="en-GB"/>
        </w:rPr>
        <w:t xml:space="preserve"> </w:t>
      </w:r>
      <w:r w:rsidRPr="002A672B">
        <w:rPr>
          <w:rFonts w:asciiTheme="majorBidi" w:hAnsiTheme="majorBidi" w:cstheme="majorBidi"/>
          <w:sz w:val="24"/>
          <w:szCs w:val="24"/>
          <w:lang w:val="en-GB"/>
        </w:rPr>
        <w:t>Article 19 does not merely tolerate such an approach; it presupposes it. By anchoring directors’ obligations in a preventive and multi-stakeholder paradigm, the Directive reinforces a model of corporate governance in financial distress that prioritises early intervention, cooperation and value preservation over delayed and destructive insolvency proceedings.</w:t>
      </w:r>
    </w:p>
    <w:p w14:paraId="590A5EBB" w14:textId="77777777" w:rsidR="002A672B" w:rsidRPr="002A672B" w:rsidRDefault="002A672B" w:rsidP="00A3355D">
      <w:pPr>
        <w:spacing w:after="0" w:line="240" w:lineRule="auto"/>
        <w:rPr>
          <w:rFonts w:asciiTheme="majorBidi" w:hAnsiTheme="majorBidi" w:cstheme="majorBidi"/>
          <w:sz w:val="24"/>
          <w:szCs w:val="24"/>
          <w:lang w:val="en-GB"/>
        </w:rPr>
      </w:pPr>
    </w:p>
    <w:sectPr w:rsidR="002A672B" w:rsidRPr="002A672B" w:rsidSect="002A672B">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51A7" w14:textId="77777777" w:rsidR="00142B8A" w:rsidRDefault="00142B8A" w:rsidP="00300EF6">
      <w:pPr>
        <w:spacing w:after="0" w:line="240" w:lineRule="auto"/>
      </w:pPr>
      <w:r>
        <w:separator/>
      </w:r>
    </w:p>
  </w:endnote>
  <w:endnote w:type="continuationSeparator" w:id="0">
    <w:p w14:paraId="7E3F8933" w14:textId="77777777" w:rsidR="00142B8A" w:rsidRDefault="00142B8A" w:rsidP="0030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GotT">
    <w:altName w:val="Calibri"/>
    <w:panose1 w:val="020B0604020202020204"/>
    <w:charset w:val="00"/>
    <w:family w:val="auto"/>
    <w:pitch w:val="variable"/>
    <w:sig w:usb0="800000AF" w:usb1="0000204A" w:usb2="00000000" w:usb3="00000000" w:csb0="00000011" w:csb1="00000000"/>
  </w:font>
  <w:font w:name="Aptos">
    <w:altName w:val="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000B" w14:textId="77777777" w:rsidR="00142B8A" w:rsidRDefault="00142B8A" w:rsidP="00300EF6">
      <w:pPr>
        <w:spacing w:after="0" w:line="240" w:lineRule="auto"/>
      </w:pPr>
      <w:r>
        <w:separator/>
      </w:r>
    </w:p>
  </w:footnote>
  <w:footnote w:type="continuationSeparator" w:id="0">
    <w:p w14:paraId="77675FB0" w14:textId="77777777" w:rsidR="00142B8A" w:rsidRDefault="00142B8A" w:rsidP="00300EF6">
      <w:pPr>
        <w:spacing w:after="0" w:line="240" w:lineRule="auto"/>
      </w:pPr>
      <w:r>
        <w:continuationSeparator/>
      </w:r>
    </w:p>
  </w:footnote>
  <w:footnote w:id="1">
    <w:p w14:paraId="116B1B05" w14:textId="705E7262" w:rsidR="003D38CA" w:rsidRPr="00CA4BC8" w:rsidRDefault="00300EF6" w:rsidP="00CA4BC8">
      <w:pPr>
        <w:spacing w:after="0" w:line="240" w:lineRule="auto"/>
        <w:jc w:val="both"/>
        <w:rPr>
          <w:rFonts w:asciiTheme="majorBidi" w:hAnsiTheme="majorBidi" w:cstheme="majorBidi"/>
          <w:b/>
          <w:bCs/>
          <w:color w:val="000000" w:themeColor="text1"/>
          <w:sz w:val="20"/>
          <w:szCs w:val="20"/>
          <w:lang w:val="en-GB"/>
        </w:rPr>
      </w:pPr>
      <w:r w:rsidRPr="00CA4BC8">
        <w:rPr>
          <w:rStyle w:val="FootnoteReference"/>
          <w:rFonts w:asciiTheme="majorBidi" w:hAnsiTheme="majorBidi" w:cstheme="majorBidi"/>
          <w:sz w:val="20"/>
          <w:szCs w:val="20"/>
          <w:lang w:val="en-GB"/>
        </w:rPr>
        <w:footnoteRef/>
      </w:r>
      <w:r w:rsidRPr="00CA4BC8">
        <w:rPr>
          <w:rFonts w:asciiTheme="majorBidi" w:hAnsiTheme="majorBidi" w:cstheme="majorBidi"/>
          <w:sz w:val="20"/>
          <w:szCs w:val="20"/>
          <w:lang w:val="en-GB"/>
        </w:rPr>
        <w:t xml:space="preserve"> See </w:t>
      </w:r>
      <w:r w:rsidRPr="00CA4BC8">
        <w:rPr>
          <w:rFonts w:asciiTheme="majorBidi" w:hAnsiTheme="majorBidi" w:cstheme="majorBidi"/>
          <w:color w:val="000000" w:themeColor="text1"/>
          <w:sz w:val="20"/>
          <w:szCs w:val="20"/>
          <w:lang w:val="en-GB"/>
        </w:rPr>
        <w:t>Catarina Serra, ‘O dever de prevenção da insolvência na perspectiva dos deveres fundamentais dos administradores (a crescente encruzilhada do Direito das Sociedades e do Direito da Insolvência)’,</w:t>
      </w:r>
      <w:r w:rsidR="00CA4BC8" w:rsidRPr="00CA4BC8">
        <w:rPr>
          <w:rFonts w:asciiTheme="majorBidi" w:hAnsiTheme="majorBidi" w:cstheme="majorBidi"/>
          <w:color w:val="000000" w:themeColor="text1"/>
          <w:sz w:val="20"/>
          <w:szCs w:val="20"/>
          <w:lang w:val="en-GB"/>
        </w:rPr>
        <w:t xml:space="preserve"> in</w:t>
      </w:r>
      <w:r w:rsidRPr="00CA4BC8">
        <w:rPr>
          <w:rFonts w:asciiTheme="majorBidi" w:hAnsiTheme="majorBidi" w:cstheme="majorBidi"/>
          <w:color w:val="000000" w:themeColor="text1"/>
          <w:sz w:val="20"/>
          <w:szCs w:val="20"/>
          <w:lang w:val="en-GB"/>
        </w:rPr>
        <w:t xml:space="preserve"> </w:t>
      </w:r>
      <w:r w:rsidR="00CA4BC8" w:rsidRPr="00CA4BC8">
        <w:rPr>
          <w:rFonts w:asciiTheme="majorBidi" w:hAnsiTheme="majorBidi" w:cstheme="majorBidi"/>
          <w:color w:val="000000" w:themeColor="text1"/>
          <w:sz w:val="20"/>
          <w:szCs w:val="20"/>
          <w:lang w:val="en-GB"/>
        </w:rPr>
        <w:t xml:space="preserve">Ricardo Costa </w:t>
      </w:r>
      <w:r w:rsidR="00CA4BC8" w:rsidRPr="00CA4BC8">
        <w:rPr>
          <w:rFonts w:asciiTheme="majorBidi" w:hAnsiTheme="majorBidi" w:cstheme="majorBidi"/>
          <w:i/>
          <w:iCs/>
          <w:color w:val="000000" w:themeColor="text1"/>
          <w:sz w:val="20"/>
          <w:szCs w:val="20"/>
          <w:lang w:val="en-GB"/>
        </w:rPr>
        <w:t>et al.</w:t>
      </w:r>
      <w:r w:rsidR="00CA4BC8" w:rsidRPr="00CA4BC8">
        <w:rPr>
          <w:rFonts w:asciiTheme="majorBidi" w:hAnsiTheme="majorBidi" w:cstheme="majorBidi"/>
          <w:color w:val="000000" w:themeColor="text1"/>
          <w:sz w:val="20"/>
          <w:szCs w:val="20"/>
          <w:lang w:val="en-GB"/>
        </w:rPr>
        <w:t xml:space="preserve"> (eds), </w:t>
      </w:r>
      <w:r w:rsidRPr="00CA4BC8">
        <w:rPr>
          <w:rFonts w:asciiTheme="majorBidi" w:hAnsiTheme="majorBidi" w:cstheme="majorBidi"/>
          <w:i/>
          <w:color w:val="000000" w:themeColor="text1"/>
          <w:sz w:val="20"/>
          <w:szCs w:val="20"/>
          <w:lang w:val="en-GB"/>
        </w:rPr>
        <w:t xml:space="preserve">Diálogos com Coutinho de Abreu, Estudos oferecidos no Aniversário do Professor </w:t>
      </w:r>
      <w:r w:rsidR="00CA4BC8" w:rsidRPr="00CA4BC8">
        <w:rPr>
          <w:rFonts w:asciiTheme="majorBidi" w:hAnsiTheme="majorBidi" w:cstheme="majorBidi"/>
          <w:iCs/>
          <w:color w:val="000000" w:themeColor="text1"/>
          <w:sz w:val="20"/>
          <w:szCs w:val="20"/>
          <w:lang w:val="en-GB"/>
        </w:rPr>
        <w:t>(</w:t>
      </w:r>
      <w:r w:rsidRPr="00CA4BC8">
        <w:rPr>
          <w:rFonts w:asciiTheme="majorBidi" w:hAnsiTheme="majorBidi" w:cstheme="majorBidi"/>
          <w:color w:val="000000" w:themeColor="text1"/>
          <w:sz w:val="20"/>
          <w:szCs w:val="20"/>
          <w:lang w:val="en-GB"/>
        </w:rPr>
        <w:t>Edições Almedina, 2020</w:t>
      </w:r>
      <w:r w:rsidR="00CA4BC8" w:rsidRPr="00CA4BC8">
        <w:rPr>
          <w:rFonts w:asciiTheme="majorBidi" w:hAnsiTheme="majorBidi" w:cstheme="majorBidi"/>
          <w:color w:val="000000" w:themeColor="text1"/>
          <w:sz w:val="20"/>
          <w:szCs w:val="20"/>
          <w:lang w:val="en-GB"/>
        </w:rPr>
        <w:t>)</w:t>
      </w:r>
      <w:r w:rsidRPr="00CA4BC8">
        <w:rPr>
          <w:rFonts w:asciiTheme="majorBidi" w:hAnsiTheme="majorBidi" w:cstheme="majorBidi"/>
          <w:color w:val="000000" w:themeColor="text1"/>
          <w:sz w:val="20"/>
          <w:szCs w:val="20"/>
          <w:lang w:val="en-GB"/>
        </w:rPr>
        <w:t xml:space="preserve">, 167-192; </w:t>
      </w:r>
      <w:r w:rsidR="003D38CA" w:rsidRPr="00CA4BC8">
        <w:rPr>
          <w:rFonts w:asciiTheme="majorBidi" w:hAnsiTheme="majorBidi" w:cstheme="majorBidi"/>
          <w:color w:val="000000" w:themeColor="text1"/>
          <w:sz w:val="20"/>
          <w:szCs w:val="20"/>
          <w:lang w:val="en-GB"/>
        </w:rPr>
        <w:t>Giorgio Corno, ‘Article 19 – Duties of Directors’,</w:t>
      </w:r>
      <w:r w:rsidR="00CA4BC8" w:rsidRPr="00CA4BC8">
        <w:rPr>
          <w:rFonts w:asciiTheme="majorBidi" w:hAnsiTheme="majorBidi" w:cstheme="majorBidi"/>
          <w:color w:val="000000" w:themeColor="text1"/>
          <w:sz w:val="20"/>
          <w:szCs w:val="20"/>
          <w:lang w:val="en-GB"/>
        </w:rPr>
        <w:t xml:space="preserve"> in</w:t>
      </w:r>
      <w:r w:rsidR="003D38CA" w:rsidRPr="00CA4BC8">
        <w:rPr>
          <w:rFonts w:asciiTheme="majorBidi" w:hAnsiTheme="majorBidi" w:cstheme="majorBidi"/>
          <w:color w:val="000000" w:themeColor="text1"/>
          <w:sz w:val="20"/>
          <w:szCs w:val="20"/>
          <w:lang w:val="en-GB"/>
        </w:rPr>
        <w:t xml:space="preserve"> </w:t>
      </w:r>
      <w:r w:rsidR="00CA4BC8" w:rsidRPr="00CA4BC8">
        <w:rPr>
          <w:rFonts w:asciiTheme="majorBidi" w:hAnsiTheme="majorBidi" w:cstheme="majorBidi"/>
          <w:color w:val="000000" w:themeColor="text1"/>
          <w:sz w:val="20"/>
          <w:szCs w:val="20"/>
          <w:lang w:val="en-GB"/>
        </w:rPr>
        <w:t xml:space="preserve">Christoph Paulus and Reinhard Dammann (eds), </w:t>
      </w:r>
      <w:r w:rsidR="003D38CA" w:rsidRPr="00CA4BC8">
        <w:rPr>
          <w:rFonts w:asciiTheme="majorBidi" w:hAnsiTheme="majorBidi" w:cstheme="majorBidi"/>
          <w:i/>
          <w:color w:val="000000" w:themeColor="text1"/>
          <w:sz w:val="20"/>
          <w:szCs w:val="20"/>
          <w:lang w:val="en-GB"/>
        </w:rPr>
        <w:t>European Preventive Restructuring, Directive (EU) 2019/1023, Article-by-Article Commentary</w:t>
      </w:r>
      <w:r w:rsidR="003D38CA" w:rsidRPr="00CA4BC8">
        <w:rPr>
          <w:rFonts w:asciiTheme="majorBidi" w:hAnsiTheme="majorBidi" w:cstheme="majorBidi"/>
          <w:color w:val="000000" w:themeColor="text1"/>
          <w:sz w:val="20"/>
          <w:szCs w:val="20"/>
          <w:lang w:val="en-GB"/>
        </w:rPr>
        <w:t xml:space="preserve"> </w:t>
      </w:r>
      <w:r w:rsidR="00CA4BC8" w:rsidRPr="00CA4BC8">
        <w:rPr>
          <w:rFonts w:asciiTheme="majorBidi" w:hAnsiTheme="majorBidi" w:cstheme="majorBidi"/>
          <w:color w:val="000000" w:themeColor="text1"/>
          <w:sz w:val="20"/>
          <w:szCs w:val="20"/>
          <w:lang w:val="en-GB"/>
        </w:rPr>
        <w:t>(</w:t>
      </w:r>
      <w:r w:rsidR="003D38CA" w:rsidRPr="00CA4BC8">
        <w:rPr>
          <w:rFonts w:asciiTheme="majorBidi" w:hAnsiTheme="majorBidi" w:cstheme="majorBidi"/>
          <w:color w:val="000000" w:themeColor="text1"/>
          <w:sz w:val="20"/>
          <w:szCs w:val="20"/>
          <w:lang w:val="en-GB"/>
        </w:rPr>
        <w:t>CH Beck, 2021</w:t>
      </w:r>
      <w:r w:rsidR="00CA4BC8" w:rsidRPr="00CA4BC8">
        <w:rPr>
          <w:rFonts w:asciiTheme="majorBidi" w:hAnsiTheme="majorBidi" w:cstheme="majorBidi"/>
          <w:color w:val="000000" w:themeColor="text1"/>
          <w:sz w:val="20"/>
          <w:szCs w:val="20"/>
          <w:lang w:val="en-GB"/>
        </w:rPr>
        <w:t>)</w:t>
      </w:r>
      <w:r w:rsidR="003D38CA" w:rsidRPr="00CA4BC8">
        <w:rPr>
          <w:rFonts w:asciiTheme="majorBidi" w:hAnsiTheme="majorBidi" w:cstheme="majorBidi"/>
          <w:color w:val="000000" w:themeColor="text1"/>
          <w:sz w:val="20"/>
          <w:szCs w:val="20"/>
          <w:lang w:val="en-GB"/>
        </w:rPr>
        <w:t xml:space="preserve">, 238-248; </w:t>
      </w:r>
      <w:r w:rsidRPr="00CA4BC8">
        <w:rPr>
          <w:rFonts w:asciiTheme="majorBidi" w:hAnsiTheme="majorBidi" w:cstheme="majorBidi"/>
          <w:color w:val="000000" w:themeColor="text1"/>
          <w:sz w:val="20"/>
          <w:szCs w:val="20"/>
          <w:lang w:val="en-GB"/>
        </w:rPr>
        <w:t xml:space="preserve">José Gonçalves Machado, </w:t>
      </w:r>
      <w:r w:rsidR="003D38CA" w:rsidRPr="00CA4BC8">
        <w:rPr>
          <w:rFonts w:asciiTheme="majorBidi" w:hAnsiTheme="majorBidi" w:cstheme="majorBidi"/>
          <w:i/>
          <w:iCs/>
          <w:color w:val="000000" w:themeColor="text1"/>
          <w:sz w:val="20"/>
          <w:szCs w:val="20"/>
          <w:lang w:val="en-GB"/>
        </w:rPr>
        <w:t xml:space="preserve">Reflexões sobre a Conduta Devida dos Gestores na Pré-Insolvência </w:t>
      </w:r>
      <w:r w:rsidR="00CA4BC8" w:rsidRPr="00CA4BC8">
        <w:rPr>
          <w:rFonts w:asciiTheme="majorBidi" w:hAnsiTheme="majorBidi" w:cstheme="majorBidi"/>
          <w:color w:val="000000" w:themeColor="text1"/>
          <w:sz w:val="20"/>
          <w:szCs w:val="20"/>
          <w:lang w:val="en-GB"/>
        </w:rPr>
        <w:t>(</w:t>
      </w:r>
      <w:r w:rsidR="00A3355D" w:rsidRPr="00CA4BC8">
        <w:rPr>
          <w:rFonts w:asciiTheme="majorBidi" w:hAnsiTheme="majorBidi" w:cstheme="majorBidi"/>
          <w:color w:val="000000" w:themeColor="text1"/>
          <w:sz w:val="20"/>
          <w:szCs w:val="20"/>
          <w:lang w:val="en-GB"/>
        </w:rPr>
        <w:t xml:space="preserve">Edições </w:t>
      </w:r>
      <w:r w:rsidR="003D38CA" w:rsidRPr="00CA4BC8">
        <w:rPr>
          <w:rFonts w:asciiTheme="majorBidi" w:hAnsiTheme="majorBidi" w:cstheme="majorBidi"/>
          <w:color w:val="000000" w:themeColor="text1"/>
          <w:sz w:val="20"/>
          <w:szCs w:val="20"/>
          <w:lang w:val="en-GB"/>
        </w:rPr>
        <w:t>Almedina, 2024</w:t>
      </w:r>
      <w:r w:rsidR="00CA4BC8" w:rsidRPr="00CA4BC8">
        <w:rPr>
          <w:rFonts w:asciiTheme="majorBidi" w:hAnsiTheme="majorBidi" w:cstheme="majorBidi"/>
          <w:color w:val="000000" w:themeColor="text1"/>
          <w:sz w:val="20"/>
          <w:szCs w:val="20"/>
          <w:lang w:val="en-GB"/>
        </w:rPr>
        <w:t>)</w:t>
      </w:r>
      <w:r w:rsidR="003D38CA" w:rsidRPr="00CA4BC8">
        <w:rPr>
          <w:rFonts w:asciiTheme="majorBidi" w:hAnsiTheme="majorBidi" w:cstheme="majorBidi"/>
          <w:color w:val="000000" w:themeColor="text1"/>
          <w:sz w:val="20"/>
          <w:szCs w:val="20"/>
          <w:lang w:val="en-GB"/>
        </w:rPr>
        <w:t>, 27 e</w:t>
      </w:r>
      <w:r w:rsidR="00CA4BC8" w:rsidRPr="00CA4BC8">
        <w:rPr>
          <w:rFonts w:asciiTheme="majorBidi" w:hAnsiTheme="majorBidi" w:cstheme="majorBidi"/>
          <w:color w:val="000000" w:themeColor="text1"/>
          <w:sz w:val="20"/>
          <w:szCs w:val="20"/>
          <w:lang w:val="en-GB"/>
        </w:rPr>
        <w:t>t seq</w:t>
      </w:r>
      <w:r w:rsidR="003D38CA" w:rsidRPr="00CA4BC8">
        <w:rPr>
          <w:rFonts w:asciiTheme="majorBidi" w:hAnsiTheme="majorBidi" w:cstheme="majorBidi"/>
          <w:color w:val="000000" w:themeColor="text1"/>
          <w:sz w:val="20"/>
          <w:szCs w:val="20"/>
          <w:lang w:val="en-GB"/>
        </w:rPr>
        <w:t>.</w:t>
      </w:r>
    </w:p>
  </w:footnote>
  <w:footnote w:id="2">
    <w:p w14:paraId="1536444A" w14:textId="3F8ACF43" w:rsidR="003D38CA" w:rsidRPr="00CA4BC8" w:rsidRDefault="003D38CA" w:rsidP="00CA4BC8">
      <w:pPr>
        <w:spacing w:after="0" w:line="240" w:lineRule="auto"/>
        <w:jc w:val="both"/>
        <w:rPr>
          <w:rFonts w:asciiTheme="majorBidi" w:hAnsiTheme="majorBidi" w:cstheme="majorBidi"/>
          <w:sz w:val="20"/>
          <w:szCs w:val="20"/>
          <w:lang w:val="en-GB"/>
        </w:rPr>
      </w:pPr>
      <w:r w:rsidRPr="00CA4BC8">
        <w:rPr>
          <w:rStyle w:val="FootnoteReference"/>
          <w:rFonts w:asciiTheme="majorBidi" w:hAnsiTheme="majorBidi" w:cstheme="majorBidi"/>
          <w:sz w:val="20"/>
          <w:szCs w:val="20"/>
          <w:lang w:val="en-GB"/>
        </w:rPr>
        <w:footnoteRef/>
      </w:r>
      <w:r w:rsidRPr="00CA4BC8">
        <w:rPr>
          <w:rFonts w:asciiTheme="majorBidi" w:hAnsiTheme="majorBidi" w:cstheme="majorBidi"/>
          <w:sz w:val="20"/>
          <w:szCs w:val="20"/>
          <w:lang w:val="en-GB"/>
        </w:rPr>
        <w:t xml:space="preserve"> </w:t>
      </w:r>
      <w:r w:rsidR="00E4063F" w:rsidRPr="00CA4BC8">
        <w:rPr>
          <w:rFonts w:asciiTheme="majorBidi" w:hAnsiTheme="majorBidi" w:cstheme="majorBidi"/>
          <w:sz w:val="20"/>
          <w:szCs w:val="20"/>
          <w:lang w:val="en-GB"/>
        </w:rPr>
        <w:t xml:space="preserve">See </w:t>
      </w:r>
      <w:r w:rsidR="00E4063F" w:rsidRPr="00CA4BC8">
        <w:rPr>
          <w:rFonts w:asciiTheme="majorBidi" w:hAnsiTheme="majorBidi" w:cstheme="majorBidi"/>
          <w:color w:val="000000" w:themeColor="text1"/>
          <w:sz w:val="20"/>
          <w:szCs w:val="20"/>
          <w:lang w:val="en-GB"/>
        </w:rPr>
        <w:t>Gonçalves Machado</w:t>
      </w:r>
      <w:r w:rsidR="00CA4BC8" w:rsidRPr="00CA4BC8">
        <w:rPr>
          <w:rFonts w:asciiTheme="majorBidi" w:hAnsiTheme="majorBidi" w:cstheme="majorBidi"/>
          <w:color w:val="000000" w:themeColor="text1"/>
          <w:sz w:val="20"/>
          <w:szCs w:val="20"/>
          <w:lang w:val="en-GB"/>
        </w:rPr>
        <w:t xml:space="preserve"> (above note 1)</w:t>
      </w:r>
      <w:r w:rsidR="00E4063F" w:rsidRPr="00CA4BC8">
        <w:rPr>
          <w:rFonts w:asciiTheme="majorBidi" w:hAnsiTheme="majorBidi" w:cstheme="majorBidi"/>
          <w:color w:val="000000" w:themeColor="text1"/>
          <w:sz w:val="20"/>
          <w:szCs w:val="20"/>
          <w:lang w:val="en-GB"/>
        </w:rPr>
        <w:t>, 143 e</w:t>
      </w:r>
      <w:r w:rsidR="00CA4BC8" w:rsidRPr="00CA4BC8">
        <w:rPr>
          <w:rFonts w:asciiTheme="majorBidi" w:hAnsiTheme="majorBidi" w:cstheme="majorBidi"/>
          <w:color w:val="000000" w:themeColor="text1"/>
          <w:sz w:val="20"/>
          <w:szCs w:val="20"/>
          <w:lang w:val="en-GB"/>
        </w:rPr>
        <w:t>t</w:t>
      </w:r>
      <w:r w:rsidR="00E4063F" w:rsidRPr="00CA4BC8">
        <w:rPr>
          <w:rFonts w:asciiTheme="majorBidi" w:hAnsiTheme="majorBidi" w:cstheme="majorBidi"/>
          <w:color w:val="000000" w:themeColor="text1"/>
          <w:sz w:val="20"/>
          <w:szCs w:val="20"/>
          <w:lang w:val="en-GB"/>
        </w:rPr>
        <w:t xml:space="preserve"> s</w:t>
      </w:r>
      <w:r w:rsidR="00CA4BC8" w:rsidRPr="00CA4BC8">
        <w:rPr>
          <w:rFonts w:asciiTheme="majorBidi" w:hAnsiTheme="majorBidi" w:cstheme="majorBidi"/>
          <w:color w:val="000000" w:themeColor="text1"/>
          <w:sz w:val="20"/>
          <w:szCs w:val="20"/>
          <w:lang w:val="en-GB"/>
        </w:rPr>
        <w:t>eq</w:t>
      </w:r>
      <w:r w:rsidR="00E4063F" w:rsidRPr="00CA4BC8">
        <w:rPr>
          <w:rFonts w:asciiTheme="majorBidi" w:hAnsiTheme="majorBidi" w:cstheme="majorBidi"/>
          <w:color w:val="000000" w:themeColor="text1"/>
          <w:sz w:val="20"/>
          <w:szCs w:val="20"/>
          <w:lang w:val="en-GB"/>
        </w:rPr>
        <w:t xml:space="preserve">; Martijn Hesselink </w:t>
      </w:r>
      <w:r w:rsidR="00CA4BC8" w:rsidRPr="00CA4BC8">
        <w:rPr>
          <w:rFonts w:asciiTheme="majorBidi" w:hAnsiTheme="majorBidi" w:cstheme="majorBidi"/>
          <w:color w:val="000000" w:themeColor="text1"/>
          <w:sz w:val="20"/>
          <w:szCs w:val="20"/>
          <w:lang w:val="en-GB"/>
        </w:rPr>
        <w:t>and</w:t>
      </w:r>
      <w:r w:rsidR="00E4063F" w:rsidRPr="00CA4BC8">
        <w:rPr>
          <w:rFonts w:asciiTheme="majorBidi" w:hAnsiTheme="majorBidi" w:cstheme="majorBidi"/>
          <w:color w:val="000000" w:themeColor="text1"/>
          <w:sz w:val="20"/>
          <w:szCs w:val="20"/>
          <w:lang w:val="en-GB"/>
        </w:rPr>
        <w:t xml:space="preserve"> Gerard de Vries, </w:t>
      </w:r>
      <w:r w:rsidR="00E4063F" w:rsidRPr="00CA4BC8">
        <w:rPr>
          <w:rFonts w:asciiTheme="majorBidi" w:hAnsiTheme="majorBidi" w:cstheme="majorBidi"/>
          <w:i/>
          <w:color w:val="000000" w:themeColor="text1"/>
          <w:sz w:val="20"/>
          <w:szCs w:val="20"/>
          <w:lang w:val="en-GB"/>
        </w:rPr>
        <w:t>Principles of European Contract Law</w:t>
      </w:r>
      <w:r w:rsidR="00E4063F" w:rsidRPr="00CA4BC8">
        <w:rPr>
          <w:rFonts w:asciiTheme="majorBidi" w:hAnsiTheme="majorBidi" w:cstheme="majorBidi"/>
          <w:color w:val="000000" w:themeColor="text1"/>
          <w:sz w:val="20"/>
          <w:szCs w:val="20"/>
          <w:lang w:val="en-GB"/>
        </w:rPr>
        <w:t xml:space="preserve"> </w:t>
      </w:r>
      <w:r w:rsidR="00CA4BC8" w:rsidRPr="00CA4BC8">
        <w:rPr>
          <w:rFonts w:asciiTheme="majorBidi" w:hAnsiTheme="majorBidi" w:cstheme="majorBidi"/>
          <w:color w:val="000000" w:themeColor="text1"/>
          <w:sz w:val="20"/>
          <w:szCs w:val="20"/>
          <w:lang w:val="en-GB"/>
        </w:rPr>
        <w:t>(</w:t>
      </w:r>
      <w:r w:rsidR="00E4063F" w:rsidRPr="00CA4BC8">
        <w:rPr>
          <w:rFonts w:asciiTheme="majorBidi" w:hAnsiTheme="majorBidi" w:cstheme="majorBidi"/>
          <w:color w:val="000000" w:themeColor="text1"/>
          <w:sz w:val="20"/>
          <w:szCs w:val="20"/>
          <w:lang w:val="en-GB"/>
        </w:rPr>
        <w:t>Kluwer, 2001</w:t>
      </w:r>
      <w:r w:rsidR="00CA4BC8" w:rsidRPr="00CA4BC8">
        <w:rPr>
          <w:rFonts w:asciiTheme="majorBidi" w:hAnsiTheme="majorBidi" w:cstheme="majorBidi"/>
          <w:color w:val="000000" w:themeColor="text1"/>
          <w:sz w:val="20"/>
          <w:szCs w:val="20"/>
          <w:lang w:val="en-GB"/>
        </w:rPr>
        <w:t>)</w:t>
      </w:r>
      <w:r w:rsidR="00E4063F" w:rsidRPr="00CA4BC8">
        <w:rPr>
          <w:rFonts w:asciiTheme="majorBidi" w:hAnsiTheme="majorBidi" w:cstheme="majorBidi"/>
          <w:color w:val="000000" w:themeColor="text1"/>
          <w:sz w:val="20"/>
          <w:szCs w:val="20"/>
          <w:lang w:val="en-GB"/>
        </w:rPr>
        <w:t xml:space="preserve">, 55; </w:t>
      </w:r>
      <w:r w:rsidR="00E4063F" w:rsidRPr="00CA4BC8">
        <w:rPr>
          <w:rStyle w:val="jlqj4b"/>
          <w:rFonts w:asciiTheme="majorBidi" w:hAnsiTheme="majorBidi" w:cstheme="majorBidi"/>
          <w:color w:val="000000" w:themeColor="text1"/>
          <w:sz w:val="20"/>
          <w:szCs w:val="20"/>
          <w:lang w:val="en-GB"/>
        </w:rPr>
        <w:t>Nuno Manuel Pinto Oliveira, ‘</w:t>
      </w:r>
      <w:r w:rsidR="00E4063F" w:rsidRPr="00CA4BC8">
        <w:rPr>
          <w:rFonts w:asciiTheme="majorBidi" w:hAnsiTheme="majorBidi" w:cstheme="majorBidi"/>
          <w:color w:val="000000" w:themeColor="text1"/>
          <w:sz w:val="20"/>
          <w:szCs w:val="20"/>
          <w:lang w:val="en-GB"/>
        </w:rPr>
        <w:t xml:space="preserve">Entre código da insolvência e </w:t>
      </w:r>
      <w:r w:rsidR="004A3AC1">
        <w:rPr>
          <w:rFonts w:asciiTheme="majorBidi" w:hAnsiTheme="majorBidi" w:cstheme="majorBidi"/>
          <w:color w:val="000000" w:themeColor="text1"/>
          <w:sz w:val="20"/>
          <w:szCs w:val="20"/>
          <w:lang w:val="en-GB"/>
        </w:rPr>
        <w:t>‘</w:t>
      </w:r>
      <w:r w:rsidR="00E4063F" w:rsidRPr="00CA4BC8">
        <w:rPr>
          <w:rFonts w:asciiTheme="majorBidi" w:hAnsiTheme="majorBidi" w:cstheme="majorBidi"/>
          <w:color w:val="000000" w:themeColor="text1"/>
          <w:sz w:val="20"/>
          <w:szCs w:val="20"/>
          <w:lang w:val="en-GB"/>
        </w:rPr>
        <w:t>Princípios Orientadores’ um dever de (re)negociação?’</w:t>
      </w:r>
      <w:r w:rsidR="00CA4BC8" w:rsidRPr="00CA4BC8">
        <w:rPr>
          <w:rFonts w:asciiTheme="majorBidi" w:hAnsiTheme="majorBidi" w:cstheme="majorBidi"/>
          <w:color w:val="000000" w:themeColor="text1"/>
          <w:sz w:val="20"/>
          <w:szCs w:val="20"/>
          <w:lang w:val="en-GB"/>
        </w:rPr>
        <w:t xml:space="preserve"> (2012)</w:t>
      </w:r>
      <w:r w:rsidR="00A3355D">
        <w:rPr>
          <w:rFonts w:asciiTheme="majorBidi" w:hAnsiTheme="majorBidi" w:cstheme="majorBidi"/>
          <w:color w:val="000000" w:themeColor="text1"/>
          <w:sz w:val="20"/>
          <w:szCs w:val="20"/>
          <w:lang w:val="en-GB"/>
        </w:rPr>
        <w:t xml:space="preserve"> 71(II/III)</w:t>
      </w:r>
      <w:r w:rsidR="00E4063F" w:rsidRPr="00CA4BC8">
        <w:rPr>
          <w:rFonts w:asciiTheme="majorBidi" w:hAnsiTheme="majorBidi" w:cstheme="majorBidi"/>
          <w:color w:val="000000" w:themeColor="text1"/>
          <w:sz w:val="20"/>
          <w:szCs w:val="20"/>
          <w:lang w:val="en-GB"/>
        </w:rPr>
        <w:t xml:space="preserve"> </w:t>
      </w:r>
      <w:r w:rsidR="00E4063F" w:rsidRPr="00CA4BC8">
        <w:rPr>
          <w:rFonts w:asciiTheme="majorBidi" w:hAnsiTheme="majorBidi" w:cstheme="majorBidi"/>
          <w:i/>
          <w:color w:val="000000" w:themeColor="text1"/>
          <w:sz w:val="20"/>
          <w:szCs w:val="20"/>
          <w:lang w:val="en-GB"/>
        </w:rPr>
        <w:t>Revista da Ordem dos Advogados</w:t>
      </w:r>
      <w:r w:rsidR="00A3355D">
        <w:rPr>
          <w:rFonts w:asciiTheme="majorBidi" w:hAnsiTheme="majorBidi" w:cstheme="majorBidi"/>
          <w:color w:val="000000" w:themeColor="text1"/>
          <w:sz w:val="20"/>
          <w:szCs w:val="20"/>
          <w:lang w:val="en-GB"/>
        </w:rPr>
        <w:t xml:space="preserve"> </w:t>
      </w:r>
      <w:r w:rsidR="00E4063F" w:rsidRPr="00CA4BC8">
        <w:rPr>
          <w:rFonts w:asciiTheme="majorBidi" w:hAnsiTheme="majorBidi" w:cstheme="majorBidi"/>
          <w:color w:val="000000" w:themeColor="text1"/>
          <w:sz w:val="20"/>
          <w:szCs w:val="20"/>
          <w:lang w:val="en-GB"/>
        </w:rPr>
        <w:t>679-682.</w:t>
      </w:r>
    </w:p>
  </w:footnote>
  <w:footnote w:id="3">
    <w:p w14:paraId="43C07B40" w14:textId="052A4407" w:rsidR="003D38CA" w:rsidRPr="00CA4BC8" w:rsidRDefault="003D38CA" w:rsidP="00CA4BC8">
      <w:pPr>
        <w:pStyle w:val="FootnoteText"/>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Cristina Guerrero Trevijano, ‘La regla de protección de la discrecionalidad empresarial en la proximidad a la insolvencia’, </w:t>
      </w:r>
      <w:r w:rsidR="00CA4BC8" w:rsidRPr="00CA4BC8">
        <w:rPr>
          <w:rFonts w:asciiTheme="majorBidi" w:hAnsiTheme="majorBidi" w:cstheme="majorBidi"/>
          <w:lang w:val="en-GB"/>
        </w:rPr>
        <w:t xml:space="preserve">in Juana Pulgar Ezquerra (ed), </w:t>
      </w:r>
      <w:r w:rsidRPr="00CA4BC8">
        <w:rPr>
          <w:rFonts w:asciiTheme="majorBidi" w:hAnsiTheme="majorBidi" w:cstheme="majorBidi"/>
          <w:i/>
          <w:iCs/>
          <w:lang w:val="en-GB"/>
        </w:rPr>
        <w:t xml:space="preserve">Reestructuración y Gobierno Corporativo en la proximidad de la insolvencia </w:t>
      </w:r>
      <w:r w:rsidR="00CA4BC8" w:rsidRPr="00CA4BC8">
        <w:rPr>
          <w:rFonts w:asciiTheme="majorBidi" w:hAnsiTheme="majorBidi" w:cstheme="majorBidi"/>
          <w:lang w:val="en-GB"/>
        </w:rPr>
        <w:t>(</w:t>
      </w:r>
      <w:r w:rsidRPr="00CA4BC8">
        <w:rPr>
          <w:rFonts w:asciiTheme="majorBidi" w:hAnsiTheme="majorBidi" w:cstheme="majorBidi"/>
          <w:lang w:val="en-GB"/>
        </w:rPr>
        <w:t>La Ley</w:t>
      </w:r>
      <w:r w:rsidR="00CA4BC8" w:rsidRPr="00CA4BC8">
        <w:rPr>
          <w:rFonts w:asciiTheme="majorBidi" w:hAnsiTheme="majorBidi" w:cstheme="majorBidi"/>
          <w:lang w:val="en-GB"/>
        </w:rPr>
        <w:t>/</w:t>
      </w:r>
      <w:r w:rsidRPr="00CA4BC8">
        <w:rPr>
          <w:rFonts w:asciiTheme="majorBidi" w:hAnsiTheme="majorBidi" w:cstheme="majorBidi"/>
          <w:lang w:val="en-GB"/>
        </w:rPr>
        <w:t>Wolters Kluwer, 2020</w:t>
      </w:r>
      <w:r w:rsidR="00CA4BC8" w:rsidRPr="00CA4BC8">
        <w:rPr>
          <w:rFonts w:asciiTheme="majorBidi" w:hAnsiTheme="majorBidi" w:cstheme="majorBidi"/>
          <w:lang w:val="en-GB"/>
        </w:rPr>
        <w:t>)</w:t>
      </w:r>
      <w:r w:rsidRPr="00CA4BC8">
        <w:rPr>
          <w:rFonts w:asciiTheme="majorBidi" w:hAnsiTheme="majorBidi" w:cstheme="majorBidi"/>
          <w:lang w:val="en-GB"/>
        </w:rPr>
        <w:t>, 235-280.</w:t>
      </w:r>
    </w:p>
  </w:footnote>
  <w:footnote w:id="4">
    <w:p w14:paraId="0EA84786" w14:textId="4B3E093E" w:rsidR="003D38CA" w:rsidRPr="00CA4BC8" w:rsidRDefault="003D38CA" w:rsidP="00CA4BC8">
      <w:pPr>
        <w:pStyle w:val="FootnoteText"/>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Karsten Schmidt, </w:t>
      </w:r>
      <w:r w:rsidRPr="00CA4BC8">
        <w:rPr>
          <w:rFonts w:asciiTheme="majorBidi" w:hAnsiTheme="majorBidi" w:cstheme="majorBidi"/>
          <w:i/>
          <w:iCs/>
          <w:lang w:val="en-GB"/>
        </w:rPr>
        <w:t xml:space="preserve">Möglichkeiten der Sanierung von Unternehmen durch Maßnahmen im Unternehmens, Arbeits-, Sozial- und Insolvenzrecht </w:t>
      </w:r>
      <w:r w:rsidR="00CA4BC8" w:rsidRPr="00CA4BC8">
        <w:rPr>
          <w:rFonts w:asciiTheme="majorBidi" w:hAnsiTheme="majorBidi" w:cstheme="majorBidi"/>
          <w:lang w:val="en-GB"/>
        </w:rPr>
        <w:t>(</w:t>
      </w:r>
      <w:r w:rsidRPr="00CA4BC8">
        <w:rPr>
          <w:rFonts w:asciiTheme="majorBidi" w:hAnsiTheme="majorBidi" w:cstheme="majorBidi"/>
          <w:lang w:val="en-GB"/>
        </w:rPr>
        <w:t>CH Beck, 1982</w:t>
      </w:r>
      <w:r w:rsidR="00CA4BC8" w:rsidRPr="00CA4BC8">
        <w:rPr>
          <w:rFonts w:asciiTheme="majorBidi" w:hAnsiTheme="majorBidi" w:cstheme="majorBidi"/>
          <w:lang w:val="en-GB"/>
        </w:rPr>
        <w:t>)</w:t>
      </w:r>
      <w:r w:rsidRPr="00CA4BC8">
        <w:rPr>
          <w:rFonts w:asciiTheme="majorBidi" w:hAnsiTheme="majorBidi" w:cstheme="majorBidi"/>
          <w:lang w:val="en-GB"/>
        </w:rPr>
        <w:t>, 75-76.</w:t>
      </w:r>
    </w:p>
  </w:footnote>
  <w:footnote w:id="5">
    <w:p w14:paraId="36DFD5C8" w14:textId="735F7BCC" w:rsidR="00E4063F" w:rsidRPr="00CA4BC8" w:rsidRDefault="00E4063F" w:rsidP="00CA4BC8">
      <w:pPr>
        <w:pStyle w:val="FootnoteText"/>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w:t>
      </w:r>
      <w:r w:rsidRPr="00CA4BC8">
        <w:rPr>
          <w:rFonts w:asciiTheme="majorBidi" w:hAnsiTheme="majorBidi" w:cstheme="majorBidi"/>
          <w:color w:val="000000" w:themeColor="text1"/>
          <w:lang w:val="en-GB"/>
        </w:rPr>
        <w:t xml:space="preserve">Andrew Keay, ‘Directors Negotiating and Contracting in the Wake of </w:t>
      </w:r>
      <w:r w:rsidR="00A3355D">
        <w:rPr>
          <w:rFonts w:asciiTheme="majorBidi" w:hAnsiTheme="majorBidi" w:cstheme="majorBidi"/>
          <w:color w:val="000000" w:themeColor="text1"/>
          <w:lang w:val="en-GB"/>
        </w:rPr>
        <w:t>t</w:t>
      </w:r>
      <w:r w:rsidRPr="00CA4BC8">
        <w:rPr>
          <w:rFonts w:asciiTheme="majorBidi" w:hAnsiTheme="majorBidi" w:cstheme="majorBidi"/>
          <w:color w:val="000000" w:themeColor="text1"/>
          <w:lang w:val="en-GB"/>
        </w:rPr>
        <w:t>heir Companies</w:t>
      </w:r>
      <w:r w:rsidR="00A3355D">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 Financial Distress’</w:t>
      </w:r>
      <w:r w:rsidR="00CA4BC8" w:rsidRPr="00CA4BC8">
        <w:rPr>
          <w:rFonts w:asciiTheme="majorBidi" w:hAnsiTheme="majorBidi" w:cstheme="majorBidi"/>
          <w:color w:val="000000" w:themeColor="text1"/>
          <w:lang w:val="en-GB"/>
        </w:rPr>
        <w:t xml:space="preserve"> (2015) 1(3)</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Journal of Strategic Contracting and Negotiation</w:t>
      </w:r>
      <w:r w:rsidR="00CA4BC8" w:rsidRPr="00CA4BC8">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 xml:space="preserve">224-226; Carsten Gerner-Beuerle </w:t>
      </w:r>
      <w:r w:rsidR="00CA4BC8" w:rsidRPr="00CA4BC8">
        <w:rPr>
          <w:rFonts w:asciiTheme="majorBidi" w:hAnsiTheme="majorBidi" w:cstheme="majorBidi"/>
          <w:color w:val="000000" w:themeColor="text1"/>
          <w:lang w:val="en-GB"/>
        </w:rPr>
        <w:t xml:space="preserve">and </w:t>
      </w:r>
      <w:r w:rsidRPr="00CA4BC8">
        <w:rPr>
          <w:rFonts w:asciiTheme="majorBidi" w:hAnsiTheme="majorBidi" w:cstheme="majorBidi"/>
          <w:color w:val="000000" w:themeColor="text1"/>
          <w:lang w:val="en-GB"/>
        </w:rPr>
        <w:t xml:space="preserve">Edmund-Philipp Schuster, </w:t>
      </w:r>
      <w:r w:rsidR="00FD2453"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The evolving structure of directors’ duties in Europe</w:t>
      </w:r>
      <w:r w:rsidR="00FD2453"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 </w:t>
      </w:r>
      <w:r w:rsidR="00CA4BC8" w:rsidRPr="00CA4BC8">
        <w:rPr>
          <w:rFonts w:asciiTheme="majorBidi" w:hAnsiTheme="majorBidi" w:cstheme="majorBidi"/>
          <w:color w:val="000000" w:themeColor="text1"/>
          <w:lang w:val="en-GB"/>
        </w:rPr>
        <w:t xml:space="preserve">(2014) 15(2) </w:t>
      </w:r>
      <w:r w:rsidRPr="00CA4BC8">
        <w:rPr>
          <w:rFonts w:asciiTheme="majorBidi" w:hAnsiTheme="majorBidi" w:cstheme="majorBidi"/>
          <w:i/>
          <w:color w:val="000000" w:themeColor="text1"/>
          <w:lang w:val="en-GB"/>
        </w:rPr>
        <w:t>European Business Organization Law Review</w:t>
      </w:r>
      <w:r w:rsidR="00CA4BC8" w:rsidRPr="00CA4BC8">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 xml:space="preserve">226; Horst Eidenmüller, </w:t>
      </w:r>
      <w:r w:rsidR="00FD2453"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Trading in times of crisis: formal insolvency proceedings, workouts and the incentives for shareholders/managers</w:t>
      </w:r>
      <w:r w:rsidR="00FD2453" w:rsidRPr="00CA4BC8">
        <w:rPr>
          <w:rFonts w:asciiTheme="majorBidi" w:hAnsiTheme="majorBidi" w:cstheme="majorBidi"/>
          <w:color w:val="000000" w:themeColor="text1"/>
          <w:lang w:val="en-GB"/>
        </w:rPr>
        <w:t>’</w:t>
      </w:r>
      <w:r w:rsidR="00CA4BC8" w:rsidRPr="00CA4BC8">
        <w:rPr>
          <w:rFonts w:asciiTheme="majorBidi" w:hAnsiTheme="majorBidi" w:cstheme="majorBidi"/>
          <w:color w:val="000000" w:themeColor="text1"/>
          <w:lang w:val="en-GB"/>
        </w:rPr>
        <w:t xml:space="preserve"> (2006) 7(1)</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European Business Organization Law Review</w:t>
      </w:r>
      <w:r w:rsidR="00CA4BC8" w:rsidRPr="00CA4BC8">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 xml:space="preserve">252; Kristin van Zwieten, </w:t>
      </w:r>
      <w:r w:rsidR="00FD2453"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Director liability in insolvency and its vicinity: </w:t>
      </w:r>
      <w:r w:rsidRPr="004A3AC1">
        <w:rPr>
          <w:rFonts w:asciiTheme="majorBidi" w:hAnsiTheme="majorBidi" w:cstheme="majorBidi"/>
          <w:i/>
          <w:iCs/>
          <w:color w:val="000000" w:themeColor="text1"/>
          <w:lang w:val="en-GB"/>
        </w:rPr>
        <w:t>West Mercia Safetywear Ltd v Dodd</w:t>
      </w:r>
      <w:r w:rsidRPr="00CA4BC8">
        <w:rPr>
          <w:rFonts w:asciiTheme="majorBidi" w:hAnsiTheme="majorBidi" w:cstheme="majorBidi"/>
          <w:color w:val="000000" w:themeColor="text1"/>
          <w:lang w:val="en-GB"/>
        </w:rPr>
        <w:t xml:space="preserve"> revisited</w:t>
      </w:r>
      <w:r w:rsidR="00FD2453" w:rsidRPr="00CA4BC8">
        <w:rPr>
          <w:rFonts w:asciiTheme="majorBidi" w:hAnsiTheme="majorBidi" w:cstheme="majorBidi"/>
          <w:color w:val="000000" w:themeColor="text1"/>
          <w:lang w:val="en-GB"/>
        </w:rPr>
        <w:t>’</w:t>
      </w:r>
      <w:r w:rsidR="00CA4BC8" w:rsidRPr="00CA4BC8">
        <w:rPr>
          <w:rFonts w:asciiTheme="majorBidi" w:hAnsiTheme="majorBidi" w:cstheme="majorBidi"/>
          <w:color w:val="000000" w:themeColor="text1"/>
          <w:lang w:val="en-GB"/>
        </w:rPr>
        <w:t xml:space="preserve"> (2018) 38(2)</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Oxford Journal of Legal Studies</w:t>
      </w:r>
      <w:r w:rsidR="00CA4BC8" w:rsidRPr="00CA4BC8">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 xml:space="preserve">382–409; Paul Davies, </w:t>
      </w:r>
      <w:r w:rsidR="00FD2453"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Director’s Creditor-regarding duties in respect of trading decisions taken in the vicinity of insolvency</w:t>
      </w:r>
      <w:r w:rsidR="00FD2453" w:rsidRPr="00CA4BC8">
        <w:rPr>
          <w:rFonts w:asciiTheme="majorBidi" w:hAnsiTheme="majorBidi" w:cstheme="majorBidi"/>
          <w:color w:val="000000" w:themeColor="text1"/>
          <w:lang w:val="en-GB"/>
        </w:rPr>
        <w:t>’</w:t>
      </w:r>
      <w:r w:rsidR="00CA4BC8" w:rsidRPr="00CA4BC8">
        <w:rPr>
          <w:rFonts w:asciiTheme="majorBidi" w:hAnsiTheme="majorBidi" w:cstheme="majorBidi"/>
          <w:color w:val="000000" w:themeColor="text1"/>
          <w:lang w:val="en-GB"/>
        </w:rPr>
        <w:t xml:space="preserve"> (2006) 7(1)</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European Business Organization Law Review</w:t>
      </w:r>
      <w:r w:rsidR="00CA4BC8" w:rsidRPr="00CA4BC8">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319-320</w:t>
      </w:r>
      <w:r w:rsidR="00FD2453" w:rsidRPr="00CA4BC8">
        <w:rPr>
          <w:rFonts w:asciiTheme="majorBidi" w:hAnsiTheme="majorBidi" w:cstheme="majorBidi"/>
          <w:color w:val="000000" w:themeColor="text1"/>
          <w:lang w:val="en-GB"/>
        </w:rPr>
        <w:t>.</w:t>
      </w:r>
    </w:p>
  </w:footnote>
  <w:footnote w:id="6">
    <w:p w14:paraId="3486FC5C" w14:textId="4BDB9772" w:rsidR="00FD2453" w:rsidRPr="00CA4BC8" w:rsidRDefault="00FD2453" w:rsidP="00CA4BC8">
      <w:pPr>
        <w:pStyle w:val="FootnoteText"/>
        <w:tabs>
          <w:tab w:val="left" w:pos="284"/>
        </w:tabs>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w:t>
      </w:r>
      <w:r w:rsidRPr="00CA4BC8">
        <w:rPr>
          <w:rFonts w:asciiTheme="majorBidi" w:hAnsiTheme="majorBidi" w:cstheme="majorBidi"/>
          <w:color w:val="000000" w:themeColor="text1"/>
          <w:lang w:val="en-GB"/>
        </w:rPr>
        <w:t>Douglas Baird, ‘Bankruptcy’s Uncontested Axioms’</w:t>
      </w:r>
      <w:r w:rsidR="00CA4BC8" w:rsidRPr="00CA4BC8">
        <w:rPr>
          <w:rFonts w:asciiTheme="majorBidi" w:hAnsiTheme="majorBidi" w:cstheme="majorBidi"/>
          <w:color w:val="000000" w:themeColor="text1"/>
          <w:lang w:val="en-GB"/>
        </w:rPr>
        <w:t xml:space="preserve"> (1997) 108(3)</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Yale Law Journal</w:t>
      </w:r>
      <w:r w:rsidR="00CA4BC8" w:rsidRPr="00CA4BC8">
        <w:rPr>
          <w:rFonts w:asciiTheme="majorBidi" w:hAnsiTheme="majorBidi" w:cstheme="majorBidi"/>
          <w:i/>
          <w:color w:val="000000" w:themeColor="text1"/>
          <w:lang w:val="en-GB"/>
        </w:rPr>
        <w:t xml:space="preserve"> </w:t>
      </w:r>
      <w:r w:rsidRPr="00CA4BC8">
        <w:rPr>
          <w:rFonts w:asciiTheme="majorBidi" w:hAnsiTheme="majorBidi" w:cstheme="majorBidi"/>
          <w:color w:val="000000" w:themeColor="text1"/>
          <w:lang w:val="en-GB"/>
        </w:rPr>
        <w:t>573-599.</w:t>
      </w:r>
    </w:p>
  </w:footnote>
  <w:footnote w:id="7">
    <w:p w14:paraId="69EAF8EB" w14:textId="4EC8826E" w:rsidR="00FD2453" w:rsidRPr="00CA4BC8" w:rsidRDefault="00FD2453" w:rsidP="00CA4BC8">
      <w:pPr>
        <w:pStyle w:val="FootnoteText"/>
        <w:jc w:val="both"/>
        <w:rPr>
          <w:rFonts w:asciiTheme="majorBidi" w:hAnsiTheme="majorBidi" w:cstheme="majorBidi"/>
          <w:i/>
          <w:color w:val="000000" w:themeColor="text1"/>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w:t>
      </w:r>
      <w:r w:rsidRPr="00CA4BC8">
        <w:rPr>
          <w:rFonts w:asciiTheme="majorBidi" w:hAnsiTheme="majorBidi" w:cstheme="majorBidi"/>
          <w:color w:val="000000" w:themeColor="text1"/>
          <w:lang w:val="en-GB"/>
        </w:rPr>
        <w:t xml:space="preserve">Hans Würdinger, </w:t>
      </w:r>
      <w:r w:rsidRPr="00CA4BC8">
        <w:rPr>
          <w:rFonts w:asciiTheme="majorBidi" w:hAnsiTheme="majorBidi" w:cstheme="majorBidi"/>
          <w:i/>
          <w:color w:val="000000" w:themeColor="text1"/>
          <w:lang w:val="en-GB"/>
        </w:rPr>
        <w:t>Theorie der schlichten Interessengemeinschaften</w:t>
      </w:r>
      <w:r w:rsidRPr="00CA4BC8">
        <w:rPr>
          <w:rFonts w:asciiTheme="majorBidi" w:hAnsiTheme="majorBidi" w:cstheme="majorBidi"/>
          <w:color w:val="000000" w:themeColor="text1"/>
          <w:lang w:val="en-GB"/>
        </w:rPr>
        <w:t xml:space="preserve"> </w:t>
      </w:r>
      <w:r w:rsidR="00CA4BC8"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Ferdinand Enke Verlag, 1934</w:t>
      </w:r>
      <w:r w:rsidR="00CA4BC8" w:rsidRP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 12-78; Horst Eidenmüller, </w:t>
      </w:r>
      <w:r w:rsidRPr="00CA4BC8">
        <w:rPr>
          <w:rFonts w:asciiTheme="majorBidi" w:hAnsiTheme="majorBidi" w:cstheme="majorBidi"/>
          <w:i/>
          <w:color w:val="000000" w:themeColor="text1"/>
          <w:lang w:val="en-GB"/>
        </w:rPr>
        <w:t>Unternehmenssanierung zwischen Markt und Gesetz</w:t>
      </w:r>
      <w:r w:rsidR="00771B04" w:rsidRPr="00CA4BC8">
        <w:rPr>
          <w:rFonts w:asciiTheme="majorBidi" w:hAnsiTheme="majorBidi" w:cstheme="majorBidi"/>
          <w:i/>
          <w:color w:val="000000" w:themeColor="text1"/>
          <w:lang w:val="en-GB"/>
        </w:rPr>
        <w:t xml:space="preserve">: </w:t>
      </w:r>
      <w:bookmarkStart w:id="0" w:name="_Hlk189323013"/>
      <w:r w:rsidR="00771B04" w:rsidRPr="00CA4BC8">
        <w:rPr>
          <w:rFonts w:asciiTheme="majorBidi" w:hAnsiTheme="majorBidi" w:cstheme="majorBidi"/>
          <w:i/>
          <w:color w:val="000000" w:themeColor="text1"/>
          <w:lang w:val="en-GB"/>
        </w:rPr>
        <w:t>Mechanismen der Untemehmensreorganisation und Kooperationspflichten im Reorganisationsrecht</w:t>
      </w:r>
      <w:r w:rsidR="00771B04" w:rsidRPr="00CA4BC8">
        <w:rPr>
          <w:rFonts w:asciiTheme="majorBidi" w:hAnsiTheme="majorBidi" w:cstheme="majorBidi"/>
          <w:color w:val="000000" w:themeColor="text1"/>
          <w:lang w:val="en-GB"/>
        </w:rPr>
        <w:t xml:space="preserve"> </w:t>
      </w:r>
      <w:r w:rsidR="00CA4BC8" w:rsidRPr="00CA4BC8">
        <w:rPr>
          <w:rFonts w:asciiTheme="majorBidi" w:hAnsiTheme="majorBidi" w:cstheme="majorBidi"/>
          <w:color w:val="000000" w:themeColor="text1"/>
          <w:lang w:val="en-GB"/>
        </w:rPr>
        <w:t>(</w:t>
      </w:r>
      <w:r w:rsidR="00771B04" w:rsidRPr="00CA4BC8">
        <w:rPr>
          <w:rStyle w:val="Emphasis"/>
          <w:rFonts w:asciiTheme="majorBidi" w:hAnsiTheme="majorBidi" w:cstheme="majorBidi"/>
          <w:i w:val="0"/>
          <w:iCs w:val="0"/>
          <w:color w:val="000000" w:themeColor="text1"/>
          <w:lang w:val="en-GB"/>
        </w:rPr>
        <w:t>Otto Sch</w:t>
      </w:r>
      <w:r w:rsidR="00A3355D">
        <w:rPr>
          <w:rStyle w:val="Emphasis"/>
          <w:rFonts w:asciiTheme="majorBidi" w:hAnsiTheme="majorBidi" w:cstheme="majorBidi"/>
          <w:i w:val="0"/>
          <w:iCs w:val="0"/>
          <w:color w:val="000000" w:themeColor="text1"/>
          <w:lang w:val="en-GB"/>
        </w:rPr>
        <w:t>m</w:t>
      </w:r>
      <w:r w:rsidR="00771B04" w:rsidRPr="00CA4BC8">
        <w:rPr>
          <w:rStyle w:val="Emphasis"/>
          <w:rFonts w:asciiTheme="majorBidi" w:hAnsiTheme="majorBidi" w:cstheme="majorBidi"/>
          <w:i w:val="0"/>
          <w:iCs w:val="0"/>
          <w:color w:val="000000" w:themeColor="text1"/>
          <w:lang w:val="en-GB"/>
        </w:rPr>
        <w:t>idt, 1999</w:t>
      </w:r>
      <w:bookmarkEnd w:id="0"/>
      <w:r w:rsidR="00CA4BC8" w:rsidRPr="00CA4BC8">
        <w:rPr>
          <w:rStyle w:val="Emphasis"/>
          <w:rFonts w:asciiTheme="majorBidi" w:hAnsiTheme="majorBidi" w:cstheme="majorBidi"/>
          <w:i w:val="0"/>
          <w:iCs w:val="0"/>
          <w:color w:val="000000" w:themeColor="text1"/>
          <w:lang w:val="en-GB"/>
        </w:rPr>
        <w:t>)</w:t>
      </w:r>
      <w:r w:rsidRPr="00CA4BC8">
        <w:rPr>
          <w:rStyle w:val="Emphasis"/>
          <w:rFonts w:asciiTheme="majorBidi" w:hAnsiTheme="majorBidi" w:cstheme="majorBidi"/>
          <w:i w:val="0"/>
          <w:iCs w:val="0"/>
          <w:color w:val="000000" w:themeColor="text1"/>
          <w:lang w:val="en-GB"/>
        </w:rPr>
        <w:t>, 608-619</w:t>
      </w:r>
      <w:r w:rsidR="00771B04" w:rsidRPr="00CA4BC8">
        <w:rPr>
          <w:rFonts w:asciiTheme="majorBidi" w:hAnsiTheme="majorBidi" w:cstheme="majorBidi"/>
          <w:i/>
          <w:color w:val="000000" w:themeColor="text1"/>
          <w:lang w:val="en-GB"/>
        </w:rPr>
        <w:t>.</w:t>
      </w:r>
    </w:p>
  </w:footnote>
  <w:footnote w:id="8">
    <w:p w14:paraId="5BA9F9EF" w14:textId="7CCC491E" w:rsidR="00771B04" w:rsidRPr="00CA4BC8" w:rsidRDefault="00771B04" w:rsidP="00CA4BC8">
      <w:pPr>
        <w:pStyle w:val="FootnoteText"/>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Karl Larenz</w:t>
      </w:r>
      <w:r w:rsidR="00CA4BC8">
        <w:rPr>
          <w:rFonts w:asciiTheme="majorBidi" w:hAnsiTheme="majorBidi" w:cstheme="majorBidi"/>
          <w:lang w:val="en-GB"/>
        </w:rPr>
        <w:t>,</w:t>
      </w:r>
      <w:r w:rsidRPr="00CA4BC8">
        <w:rPr>
          <w:rFonts w:asciiTheme="majorBidi" w:hAnsiTheme="majorBidi" w:cstheme="majorBidi"/>
          <w:lang w:val="en-GB"/>
        </w:rPr>
        <w:t xml:space="preserve"> </w:t>
      </w:r>
      <w:r w:rsidR="00CA4BC8">
        <w:rPr>
          <w:rFonts w:asciiTheme="majorBidi" w:hAnsiTheme="majorBidi" w:cstheme="majorBidi"/>
          <w:lang w:val="en-GB"/>
        </w:rPr>
        <w:t>‘</w:t>
      </w:r>
      <w:r w:rsidRPr="00CA4BC8">
        <w:rPr>
          <w:rFonts w:asciiTheme="majorBidi" w:hAnsiTheme="majorBidi" w:cstheme="majorBidi"/>
          <w:color w:val="000000" w:themeColor="text1"/>
          <w:lang w:val="en-GB"/>
        </w:rPr>
        <w:t>Bemerkungen zur Haftung für “culpa in contrahendo”</w:t>
      </w:r>
      <w:r w:rsidR="00CA4BC8">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 </w:t>
      </w:r>
      <w:r w:rsidR="00A3355D">
        <w:rPr>
          <w:rFonts w:asciiTheme="majorBidi" w:hAnsiTheme="majorBidi" w:cstheme="majorBidi"/>
          <w:color w:val="000000" w:themeColor="text1"/>
          <w:lang w:val="en-GB"/>
        </w:rPr>
        <w:t xml:space="preserve">in Werner Flume, Peter Raisch and Ernst Steindorff (eds), </w:t>
      </w:r>
      <w:r w:rsidRPr="00CA4BC8">
        <w:rPr>
          <w:rFonts w:asciiTheme="majorBidi" w:hAnsiTheme="majorBidi" w:cstheme="majorBidi"/>
          <w:i/>
          <w:color w:val="000000" w:themeColor="text1"/>
          <w:lang w:val="en-GB"/>
        </w:rPr>
        <w:t>Beiträge zum Zivil- und Wirtsch</w:t>
      </w:r>
      <w:r w:rsidR="00A3355D">
        <w:rPr>
          <w:rFonts w:asciiTheme="majorBidi" w:hAnsiTheme="majorBidi" w:cstheme="majorBidi"/>
          <w:i/>
          <w:color w:val="000000" w:themeColor="text1"/>
          <w:lang w:val="en-GB"/>
        </w:rPr>
        <w:t>a</w:t>
      </w:r>
      <w:r w:rsidRPr="00CA4BC8">
        <w:rPr>
          <w:rFonts w:asciiTheme="majorBidi" w:hAnsiTheme="majorBidi" w:cstheme="majorBidi"/>
          <w:i/>
          <w:color w:val="000000" w:themeColor="text1"/>
          <w:lang w:val="en-GB"/>
        </w:rPr>
        <w:t xml:space="preserve">ftsrecht: Festschrift für Kurt </w:t>
      </w:r>
      <w:r w:rsidRPr="00CA4BC8">
        <w:rPr>
          <w:rStyle w:val="Emphasis"/>
          <w:rFonts w:asciiTheme="majorBidi" w:hAnsiTheme="majorBidi" w:cstheme="majorBidi"/>
          <w:color w:val="000000" w:themeColor="text1"/>
          <w:lang w:val="en-GB"/>
        </w:rPr>
        <w:t>Ballerstedt</w:t>
      </w:r>
      <w:r w:rsidRPr="00CA4BC8">
        <w:rPr>
          <w:rFonts w:asciiTheme="majorBidi" w:hAnsiTheme="majorBidi" w:cstheme="majorBidi"/>
          <w:i/>
          <w:color w:val="000000" w:themeColor="text1"/>
          <w:lang w:val="en-GB"/>
        </w:rPr>
        <w:t xml:space="preserve"> zum 70. Gebur</w:t>
      </w:r>
      <w:r w:rsidR="00A3355D">
        <w:rPr>
          <w:rFonts w:asciiTheme="majorBidi" w:hAnsiTheme="majorBidi" w:cstheme="majorBidi"/>
          <w:i/>
          <w:color w:val="000000" w:themeColor="text1"/>
          <w:lang w:val="en-GB"/>
        </w:rPr>
        <w:t>t</w:t>
      </w:r>
      <w:r w:rsidRPr="00CA4BC8">
        <w:rPr>
          <w:rFonts w:asciiTheme="majorBidi" w:hAnsiTheme="majorBidi" w:cstheme="majorBidi"/>
          <w:i/>
          <w:color w:val="000000" w:themeColor="text1"/>
          <w:lang w:val="en-GB"/>
        </w:rPr>
        <w:t xml:space="preserve">stag am 24. Dezember 1975 </w:t>
      </w:r>
      <w:r w:rsidR="00A3355D" w:rsidRPr="00A3355D">
        <w:rPr>
          <w:rFonts w:asciiTheme="majorBidi" w:hAnsiTheme="majorBidi" w:cstheme="majorBidi"/>
          <w:iCs/>
          <w:color w:val="000000" w:themeColor="text1"/>
          <w:lang w:val="en-GB"/>
        </w:rPr>
        <w:t>(</w:t>
      </w:r>
      <w:r w:rsidRPr="00CA4BC8">
        <w:rPr>
          <w:rFonts w:asciiTheme="majorBidi" w:hAnsiTheme="majorBidi" w:cstheme="majorBidi"/>
          <w:color w:val="000000" w:themeColor="text1"/>
          <w:lang w:val="en-GB"/>
        </w:rPr>
        <w:t>FS Ballerstedt, 1975</w:t>
      </w:r>
      <w:r w:rsidR="00A3355D">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397-419)</w:t>
      </w:r>
      <w:r w:rsidR="00A3355D">
        <w:rPr>
          <w:rFonts w:asciiTheme="majorBidi" w:hAnsiTheme="majorBidi" w:cstheme="majorBidi"/>
          <w:color w:val="000000" w:themeColor="text1"/>
          <w:lang w:val="en-GB"/>
        </w:rPr>
        <w:t>;</w:t>
      </w:r>
      <w:r w:rsidRPr="00CA4BC8">
        <w:rPr>
          <w:rFonts w:asciiTheme="majorBidi" w:hAnsiTheme="majorBidi" w:cstheme="majorBidi"/>
          <w:color w:val="000000" w:themeColor="text1"/>
          <w:lang w:val="en-GB"/>
        </w:rPr>
        <w:t xml:space="preserve"> </w:t>
      </w:r>
      <w:r w:rsidRPr="00CA4BC8">
        <w:rPr>
          <w:rFonts w:asciiTheme="majorBidi" w:hAnsiTheme="majorBidi" w:cstheme="majorBidi"/>
          <w:lang w:val="en-GB"/>
        </w:rPr>
        <w:t>Klaus Hopt</w:t>
      </w:r>
      <w:r w:rsidR="00A3355D">
        <w:rPr>
          <w:rFonts w:asciiTheme="majorBidi" w:hAnsiTheme="majorBidi" w:cstheme="majorBidi"/>
          <w:lang w:val="en-GB"/>
        </w:rPr>
        <w:t>,</w:t>
      </w:r>
      <w:r w:rsidRPr="00CA4BC8">
        <w:rPr>
          <w:rFonts w:asciiTheme="majorBidi" w:hAnsiTheme="majorBidi" w:cstheme="majorBidi"/>
          <w:lang w:val="en-GB"/>
        </w:rPr>
        <w:t xml:space="preserve"> </w:t>
      </w:r>
      <w:r w:rsidR="00A3355D">
        <w:rPr>
          <w:rFonts w:asciiTheme="majorBidi" w:hAnsiTheme="majorBidi" w:cstheme="majorBidi"/>
          <w:lang w:val="en-GB"/>
        </w:rPr>
        <w:t>‘</w:t>
      </w:r>
      <w:r w:rsidRPr="00CA4BC8">
        <w:rPr>
          <w:rFonts w:asciiTheme="majorBidi" w:hAnsiTheme="majorBidi" w:cstheme="majorBidi"/>
          <w:color w:val="000000" w:themeColor="text1"/>
          <w:lang w:val="en-GB"/>
        </w:rPr>
        <w:t>Nichtvertragliche Haftung außerhalb von Schadens- und Bereicherungsausgleich: — Zur Theorie und Dogmatik des Berufsrechts und der Berufshaftung</w:t>
      </w:r>
      <w:r w:rsidR="00A3355D">
        <w:rPr>
          <w:rFonts w:asciiTheme="majorBidi" w:hAnsiTheme="majorBidi" w:cstheme="majorBidi"/>
          <w:color w:val="000000" w:themeColor="text1"/>
          <w:lang w:val="en-GB"/>
        </w:rPr>
        <w:t>’ (1983) 183(4/5)</w:t>
      </w:r>
      <w:r w:rsidRPr="00CA4BC8">
        <w:rPr>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Archiv für die civilistische Praxis</w:t>
      </w:r>
      <w:r w:rsidR="00A3355D">
        <w:rPr>
          <w:rFonts w:asciiTheme="majorBidi" w:hAnsiTheme="majorBidi" w:cstheme="majorBidi"/>
          <w:color w:val="000000" w:themeColor="text1"/>
          <w:lang w:val="en-GB"/>
        </w:rPr>
        <w:t xml:space="preserve"> </w:t>
      </w:r>
      <w:r w:rsidRPr="00CA4BC8">
        <w:rPr>
          <w:rFonts w:asciiTheme="majorBidi" w:hAnsiTheme="majorBidi" w:cstheme="majorBidi"/>
          <w:color w:val="000000" w:themeColor="text1"/>
          <w:lang w:val="en-GB"/>
        </w:rPr>
        <w:t>699-701)</w:t>
      </w:r>
      <w:r w:rsidRPr="00CA4BC8">
        <w:rPr>
          <w:rFonts w:asciiTheme="majorBidi" w:hAnsiTheme="majorBidi" w:cstheme="majorBidi"/>
          <w:lang w:val="en-GB"/>
        </w:rPr>
        <w:t>, building on the doctrine developed by Kurt Ballerstedt</w:t>
      </w:r>
      <w:r w:rsidR="00A3355D">
        <w:rPr>
          <w:rFonts w:asciiTheme="majorBidi" w:hAnsiTheme="majorBidi" w:cstheme="majorBidi"/>
          <w:lang w:val="en-GB"/>
        </w:rPr>
        <w:t>,</w:t>
      </w:r>
      <w:r w:rsidRPr="00CA4BC8">
        <w:rPr>
          <w:rFonts w:asciiTheme="majorBidi" w:hAnsiTheme="majorBidi" w:cstheme="majorBidi"/>
          <w:lang w:val="en-GB"/>
        </w:rPr>
        <w:t xml:space="preserve"> </w:t>
      </w:r>
      <w:r w:rsidR="00A3355D">
        <w:rPr>
          <w:rFonts w:asciiTheme="majorBidi" w:hAnsiTheme="majorBidi" w:cstheme="majorBidi"/>
          <w:lang w:val="en-GB"/>
        </w:rPr>
        <w:t>‘</w:t>
      </w:r>
      <w:r w:rsidRPr="00CA4BC8">
        <w:rPr>
          <w:rStyle w:val="Emphasis"/>
          <w:rFonts w:asciiTheme="majorBidi" w:hAnsiTheme="majorBidi" w:cstheme="majorBidi"/>
          <w:color w:val="000000" w:themeColor="text1"/>
          <w:lang w:val="en-GB"/>
        </w:rPr>
        <w:t>Zur Haftung für culpa in contrahendo</w:t>
      </w:r>
      <w:r w:rsidRPr="00CA4BC8">
        <w:rPr>
          <w:rStyle w:val="acopre"/>
          <w:rFonts w:asciiTheme="majorBidi" w:hAnsiTheme="majorBidi" w:cstheme="majorBidi"/>
          <w:color w:val="000000" w:themeColor="text1"/>
          <w:lang w:val="en-GB"/>
        </w:rPr>
        <w:t xml:space="preserve"> bei</w:t>
      </w:r>
      <w:r w:rsidRPr="00CA4BC8">
        <w:rPr>
          <w:rStyle w:val="acopre"/>
          <w:rFonts w:asciiTheme="majorBidi" w:hAnsiTheme="majorBidi" w:cstheme="majorBidi"/>
          <w:i/>
          <w:color w:val="000000" w:themeColor="text1"/>
          <w:lang w:val="en-GB"/>
        </w:rPr>
        <w:t xml:space="preserve">. </w:t>
      </w:r>
      <w:r w:rsidRPr="00CA4BC8">
        <w:rPr>
          <w:rStyle w:val="Emphasis"/>
          <w:rFonts w:asciiTheme="majorBidi" w:hAnsiTheme="majorBidi" w:cstheme="majorBidi"/>
          <w:color w:val="000000" w:themeColor="text1"/>
          <w:lang w:val="en-GB"/>
        </w:rPr>
        <w:t>Geschäftsabschluss durch Stellvertreter</w:t>
      </w:r>
      <w:r w:rsidR="00A3355D">
        <w:rPr>
          <w:rStyle w:val="acopre"/>
          <w:rFonts w:asciiTheme="majorBidi" w:hAnsiTheme="majorBidi" w:cstheme="majorBidi"/>
          <w:color w:val="000000" w:themeColor="text1"/>
          <w:lang w:val="en-GB"/>
        </w:rPr>
        <w:t>’ (1950/1951) 151</w:t>
      </w:r>
      <w:r w:rsidRPr="00CA4BC8">
        <w:rPr>
          <w:rStyle w:val="acopre"/>
          <w:rFonts w:asciiTheme="majorBidi" w:hAnsiTheme="majorBidi" w:cstheme="majorBidi"/>
          <w:color w:val="000000" w:themeColor="text1"/>
          <w:lang w:val="en-GB"/>
        </w:rPr>
        <w:t xml:space="preserve"> </w:t>
      </w:r>
      <w:r w:rsidRPr="00CA4BC8">
        <w:rPr>
          <w:rFonts w:asciiTheme="majorBidi" w:hAnsiTheme="majorBidi" w:cstheme="majorBidi"/>
          <w:i/>
          <w:color w:val="000000" w:themeColor="text1"/>
          <w:lang w:val="en-GB"/>
        </w:rPr>
        <w:t>Archiv für die civilistische Praxis</w:t>
      </w:r>
      <w:r w:rsidR="00A3355D">
        <w:rPr>
          <w:rFonts w:asciiTheme="majorBidi" w:hAnsiTheme="majorBidi" w:cstheme="majorBidi"/>
          <w:color w:val="000000" w:themeColor="text1"/>
          <w:lang w:val="en-GB"/>
        </w:rPr>
        <w:t xml:space="preserve"> </w:t>
      </w:r>
      <w:r w:rsidRPr="00CA4BC8">
        <w:rPr>
          <w:rStyle w:val="acopre"/>
          <w:rFonts w:asciiTheme="majorBidi" w:hAnsiTheme="majorBidi" w:cstheme="majorBidi"/>
          <w:color w:val="000000" w:themeColor="text1"/>
          <w:lang w:val="en-GB"/>
        </w:rPr>
        <w:t>501-531)</w:t>
      </w:r>
      <w:r w:rsidRPr="00CA4BC8">
        <w:rPr>
          <w:rFonts w:asciiTheme="majorBidi" w:hAnsiTheme="majorBidi" w:cstheme="majorBidi"/>
          <w:lang w:val="en-GB"/>
        </w:rPr>
        <w:t>, emphasise that this reasoning may also justify the recognition of autonomous liability of directors and corporate representatives towards third parties where, in the course of negotiations, they relied on their professional standing and personal qualities as factors capable of generating trust, or where they had a relevant economic interest in the conclusion of the contract to be entered into between the company they represented and third parties. From this perspective, the decisive factor for attributing liability to directors and corporate representatives lies in specific and conclusive conduct that created a legitimate expectation on the part of third parties that those directors would perform alongside the company, or even in place of the company itself.</w:t>
      </w:r>
    </w:p>
  </w:footnote>
  <w:footnote w:id="9">
    <w:p w14:paraId="0AB47051" w14:textId="69741F46" w:rsidR="00FD2453" w:rsidRPr="00CA4BC8" w:rsidRDefault="00FD2453" w:rsidP="00CA4BC8">
      <w:pPr>
        <w:pStyle w:val="FootnoteText"/>
        <w:jc w:val="both"/>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In a certain sense, this approach shares the same underlying philosophy as the concept of the social contract, as articulated by John Rawls</w:t>
      </w:r>
      <w:r w:rsidR="00A3355D">
        <w:rPr>
          <w:rFonts w:asciiTheme="majorBidi" w:hAnsiTheme="majorBidi" w:cstheme="majorBidi"/>
          <w:lang w:val="en-GB"/>
        </w:rPr>
        <w:t>,</w:t>
      </w:r>
      <w:r w:rsidRPr="00CA4BC8">
        <w:rPr>
          <w:rFonts w:asciiTheme="majorBidi" w:hAnsiTheme="majorBidi" w:cstheme="majorBidi"/>
          <w:lang w:val="en-GB"/>
        </w:rPr>
        <w:t xml:space="preserve"> </w:t>
      </w:r>
      <w:r w:rsidRPr="00A3355D">
        <w:rPr>
          <w:rFonts w:asciiTheme="majorBidi" w:hAnsiTheme="majorBidi" w:cstheme="majorBidi"/>
          <w:i/>
          <w:iCs/>
          <w:lang w:val="en-GB"/>
        </w:rPr>
        <w:t>A Theory of Justice</w:t>
      </w:r>
      <w:r w:rsidRPr="00CA4BC8">
        <w:rPr>
          <w:rFonts w:asciiTheme="majorBidi" w:hAnsiTheme="majorBidi" w:cstheme="majorBidi"/>
          <w:lang w:val="en-GB"/>
        </w:rPr>
        <w:t xml:space="preserve"> </w:t>
      </w:r>
      <w:r w:rsidR="00A3355D">
        <w:rPr>
          <w:rFonts w:asciiTheme="majorBidi" w:hAnsiTheme="majorBidi" w:cstheme="majorBidi"/>
          <w:lang w:val="en-GB"/>
        </w:rPr>
        <w:t>(</w:t>
      </w:r>
      <w:r w:rsidRPr="00CA4BC8">
        <w:rPr>
          <w:rFonts w:asciiTheme="majorBidi" w:hAnsiTheme="majorBidi" w:cstheme="majorBidi"/>
          <w:lang w:val="en-GB"/>
        </w:rPr>
        <w:t>Revised Edition</w:t>
      </w:r>
      <w:r w:rsidR="00A3355D">
        <w:rPr>
          <w:rFonts w:asciiTheme="majorBidi" w:hAnsiTheme="majorBidi" w:cstheme="majorBidi"/>
          <w:lang w:val="en-GB"/>
        </w:rPr>
        <w:t>)</w:t>
      </w:r>
      <w:r w:rsidRPr="00CA4BC8">
        <w:rPr>
          <w:rFonts w:asciiTheme="majorBidi" w:hAnsiTheme="majorBidi" w:cstheme="majorBidi"/>
          <w:lang w:val="en-GB"/>
        </w:rPr>
        <w:t xml:space="preserve"> </w:t>
      </w:r>
      <w:r w:rsidR="00A3355D">
        <w:rPr>
          <w:rFonts w:asciiTheme="majorBidi" w:hAnsiTheme="majorBidi" w:cstheme="majorBidi"/>
          <w:lang w:val="en-GB"/>
        </w:rPr>
        <w:t>(</w:t>
      </w:r>
      <w:r w:rsidRPr="00CA4BC8">
        <w:rPr>
          <w:rFonts w:asciiTheme="majorBidi" w:hAnsiTheme="majorBidi" w:cstheme="majorBidi"/>
          <w:lang w:val="en-GB"/>
        </w:rPr>
        <w:t>Harvard University Press, 1999). Rawls argues for a stable system of social cooperation, grounded in basic rules that are voluntarily accepted and guided by a shared sense of justice.</w:t>
      </w:r>
    </w:p>
  </w:footnote>
  <w:footnote w:id="10">
    <w:p w14:paraId="6C8629BD" w14:textId="639A4ED6" w:rsidR="00771B04" w:rsidRPr="00CA4BC8" w:rsidRDefault="00771B04" w:rsidP="00CA4BC8">
      <w:pPr>
        <w:pStyle w:val="FootnoteText"/>
        <w:rPr>
          <w:rFonts w:asciiTheme="majorBidi" w:hAnsiTheme="majorBidi" w:cstheme="majorBidi"/>
          <w:lang w:val="en-GB"/>
        </w:rPr>
      </w:pPr>
      <w:r w:rsidRPr="00CA4BC8">
        <w:rPr>
          <w:rStyle w:val="FootnoteReference"/>
          <w:rFonts w:asciiTheme="majorBidi" w:hAnsiTheme="majorBidi" w:cstheme="majorBidi"/>
          <w:lang w:val="en-GB"/>
        </w:rPr>
        <w:footnoteRef/>
      </w:r>
      <w:r w:rsidRPr="00CA4BC8">
        <w:rPr>
          <w:rFonts w:asciiTheme="majorBidi" w:hAnsiTheme="majorBidi" w:cstheme="majorBidi"/>
          <w:lang w:val="en-GB"/>
        </w:rPr>
        <w:t xml:space="preserve"> See </w:t>
      </w:r>
      <w:r w:rsidRPr="00CA4BC8">
        <w:rPr>
          <w:rFonts w:asciiTheme="majorBidi" w:hAnsiTheme="majorBidi" w:cstheme="majorBidi"/>
          <w:color w:val="000000" w:themeColor="text1"/>
          <w:lang w:val="en-GB"/>
        </w:rPr>
        <w:t>Gonçalves Machado</w:t>
      </w:r>
      <w:r w:rsidR="00A3355D">
        <w:rPr>
          <w:rFonts w:asciiTheme="majorBidi" w:hAnsiTheme="majorBidi" w:cstheme="majorBidi"/>
          <w:color w:val="000000" w:themeColor="text1"/>
          <w:lang w:val="en-GB"/>
        </w:rPr>
        <w:t xml:space="preserve"> (above note 1)</w:t>
      </w:r>
      <w:r w:rsidRPr="00CA4BC8">
        <w:rPr>
          <w:rFonts w:asciiTheme="majorBidi" w:hAnsiTheme="majorBidi" w:cstheme="majorBidi"/>
          <w:color w:val="000000" w:themeColor="text1"/>
          <w:lang w:val="en-GB"/>
        </w:rPr>
        <w:t>, 185 e</w:t>
      </w:r>
      <w:r w:rsidR="00A3355D">
        <w:rPr>
          <w:rFonts w:asciiTheme="majorBidi" w:hAnsiTheme="majorBidi" w:cstheme="majorBidi"/>
          <w:color w:val="000000" w:themeColor="text1"/>
          <w:lang w:val="en-GB"/>
        </w:rPr>
        <w:t>t</w:t>
      </w:r>
      <w:r w:rsidRPr="00CA4BC8">
        <w:rPr>
          <w:rFonts w:asciiTheme="majorBidi" w:hAnsiTheme="majorBidi" w:cstheme="majorBidi"/>
          <w:color w:val="000000" w:themeColor="text1"/>
          <w:lang w:val="en-GB"/>
        </w:rPr>
        <w:t xml:space="preserve"> s</w:t>
      </w:r>
      <w:r w:rsidR="00A3355D">
        <w:rPr>
          <w:rFonts w:asciiTheme="majorBidi" w:hAnsiTheme="majorBidi" w:cstheme="majorBidi"/>
          <w:color w:val="000000" w:themeColor="text1"/>
          <w:lang w:val="en-GB"/>
        </w:rPr>
        <w:t>eq</w:t>
      </w:r>
      <w:r w:rsidRPr="00CA4BC8">
        <w:rPr>
          <w:rFonts w:asciiTheme="majorBidi" w:hAnsiTheme="majorBidi" w:cstheme="majorBidi"/>
          <w:color w:val="000000" w:themeColor="text1"/>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3ACF" w14:textId="702D2194" w:rsidR="00771B04" w:rsidRPr="00771B04" w:rsidRDefault="00771B04" w:rsidP="00771B04">
    <w:pPr>
      <w:pStyle w:val="Header"/>
      <w:rPr>
        <w:rFonts w:ascii="Arial" w:hAnsi="Arial" w:cs="Arial"/>
        <w:b/>
        <w:sz w:val="20"/>
        <w:lang w:val="en-GB"/>
      </w:rPr>
    </w:pPr>
    <w:r w:rsidRPr="00771B04">
      <w:rPr>
        <w:rFonts w:ascii="Arial" w:hAnsi="Arial" w:cs="Arial"/>
        <w:b/>
        <w:sz w:val="20"/>
        <w:lang w:val="en-GB"/>
      </w:rPr>
      <w:t>Inside Story (January 2026)</w:t>
    </w:r>
  </w:p>
  <w:p w14:paraId="720E5975" w14:textId="08DA2346" w:rsidR="00771B04" w:rsidRPr="00771B04" w:rsidRDefault="00771B04">
    <w:pPr>
      <w:pStyle w:val="Header"/>
      <w:rPr>
        <w:lang w:val="en-GB"/>
      </w:rPr>
    </w:pPr>
    <w:r w:rsidRPr="00771B04">
      <w:rPr>
        <w:rFonts w:ascii="Arial" w:hAnsi="Arial" w:cs="Arial"/>
        <w:b/>
        <w:sz w:val="20"/>
        <w:lang w:val="en-GB"/>
      </w:rPr>
      <w:t>José Gonçalves Machado</w:t>
    </w:r>
    <w:r w:rsidR="00CA4BC8">
      <w:rPr>
        <w:rFonts w:ascii="Arial" w:hAnsi="Arial" w:cs="Arial"/>
        <w:b/>
        <w:sz w:val="20"/>
        <w:lang w:val="en-GB"/>
      </w:rPr>
      <w:t xml:space="preserve"> (EU)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7106D"/>
    <w:multiLevelType w:val="hybridMultilevel"/>
    <w:tmpl w:val="99EEDC6C"/>
    <w:lvl w:ilvl="0" w:tplc="295ABAAA">
      <w:start w:val="27"/>
      <w:numFmt w:val="bullet"/>
      <w:lvlText w:val="-"/>
      <w:lvlJc w:val="left"/>
      <w:pPr>
        <w:ind w:left="720" w:hanging="360"/>
      </w:pPr>
      <w:rPr>
        <w:rFonts w:ascii="NewsGotT" w:eastAsiaTheme="minorHAnsi" w:hAnsi="NewsGotT" w:cs="Times New Roman" w:hint="default"/>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04763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2B"/>
    <w:rsid w:val="000519B6"/>
    <w:rsid w:val="00142B8A"/>
    <w:rsid w:val="002A672B"/>
    <w:rsid w:val="00300EF6"/>
    <w:rsid w:val="003206AD"/>
    <w:rsid w:val="003D38CA"/>
    <w:rsid w:val="00470FB3"/>
    <w:rsid w:val="004A3AC1"/>
    <w:rsid w:val="00734413"/>
    <w:rsid w:val="00771B04"/>
    <w:rsid w:val="009642A6"/>
    <w:rsid w:val="00A3355D"/>
    <w:rsid w:val="00CA4BC8"/>
    <w:rsid w:val="00E4063F"/>
    <w:rsid w:val="00FD2453"/>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7C0A"/>
  <w15:chartTrackingRefBased/>
  <w15:docId w15:val="{71FD7D31-008E-4408-A678-ABE03C26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6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6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72B"/>
    <w:rPr>
      <w:rFonts w:eastAsiaTheme="majorEastAsia" w:cstheme="majorBidi"/>
      <w:color w:val="272727" w:themeColor="text1" w:themeTint="D8"/>
    </w:rPr>
  </w:style>
  <w:style w:type="paragraph" w:styleId="Title">
    <w:name w:val="Title"/>
    <w:basedOn w:val="Normal"/>
    <w:next w:val="Normal"/>
    <w:link w:val="TitleChar"/>
    <w:uiPriority w:val="10"/>
    <w:qFormat/>
    <w:rsid w:val="002A6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72B"/>
    <w:pPr>
      <w:spacing w:before="160"/>
      <w:jc w:val="center"/>
    </w:pPr>
    <w:rPr>
      <w:i/>
      <w:iCs/>
      <w:color w:val="404040" w:themeColor="text1" w:themeTint="BF"/>
    </w:rPr>
  </w:style>
  <w:style w:type="character" w:customStyle="1" w:styleId="QuoteChar">
    <w:name w:val="Quote Char"/>
    <w:basedOn w:val="DefaultParagraphFont"/>
    <w:link w:val="Quote"/>
    <w:uiPriority w:val="29"/>
    <w:rsid w:val="002A672B"/>
    <w:rPr>
      <w:i/>
      <w:iCs/>
      <w:color w:val="404040" w:themeColor="text1" w:themeTint="BF"/>
    </w:rPr>
  </w:style>
  <w:style w:type="paragraph" w:styleId="ListParagraph">
    <w:name w:val="List Paragraph"/>
    <w:basedOn w:val="Normal"/>
    <w:link w:val="ListParagraphChar"/>
    <w:uiPriority w:val="34"/>
    <w:qFormat/>
    <w:rsid w:val="002A672B"/>
    <w:pPr>
      <w:ind w:left="720"/>
      <w:contextualSpacing/>
    </w:pPr>
  </w:style>
  <w:style w:type="character" w:styleId="IntenseEmphasis">
    <w:name w:val="Intense Emphasis"/>
    <w:basedOn w:val="DefaultParagraphFont"/>
    <w:uiPriority w:val="21"/>
    <w:qFormat/>
    <w:rsid w:val="002A672B"/>
    <w:rPr>
      <w:i/>
      <w:iCs/>
      <w:color w:val="0F4761" w:themeColor="accent1" w:themeShade="BF"/>
    </w:rPr>
  </w:style>
  <w:style w:type="paragraph" w:styleId="IntenseQuote">
    <w:name w:val="Intense Quote"/>
    <w:basedOn w:val="Normal"/>
    <w:next w:val="Normal"/>
    <w:link w:val="IntenseQuoteChar"/>
    <w:uiPriority w:val="30"/>
    <w:qFormat/>
    <w:rsid w:val="002A6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72B"/>
    <w:rPr>
      <w:i/>
      <w:iCs/>
      <w:color w:val="0F4761" w:themeColor="accent1" w:themeShade="BF"/>
    </w:rPr>
  </w:style>
  <w:style w:type="character" w:styleId="IntenseReference">
    <w:name w:val="Intense Reference"/>
    <w:basedOn w:val="DefaultParagraphFont"/>
    <w:uiPriority w:val="32"/>
    <w:qFormat/>
    <w:rsid w:val="002A672B"/>
    <w:rPr>
      <w:b/>
      <w:bCs/>
      <w:smallCaps/>
      <w:color w:val="0F4761" w:themeColor="accent1" w:themeShade="BF"/>
      <w:spacing w:val="5"/>
    </w:rPr>
  </w:style>
  <w:style w:type="paragraph" w:styleId="NoSpacing">
    <w:name w:val="No Spacing"/>
    <w:uiPriority w:val="1"/>
    <w:qFormat/>
    <w:rsid w:val="002A672B"/>
    <w:pPr>
      <w:spacing w:after="0" w:line="240" w:lineRule="auto"/>
    </w:pPr>
    <w:rPr>
      <w:kern w:val="0"/>
      <w:lang w:val="en-US" w:bidi="ar-SA"/>
      <w14:ligatures w14:val="none"/>
    </w:rPr>
  </w:style>
  <w:style w:type="paragraph" w:styleId="FootnoteText">
    <w:name w:val="footnote text"/>
    <w:basedOn w:val="Normal"/>
    <w:link w:val="FootnoteTextChar"/>
    <w:uiPriority w:val="99"/>
    <w:unhideWhenUsed/>
    <w:rsid w:val="00300EF6"/>
    <w:pPr>
      <w:spacing w:after="0" w:line="240" w:lineRule="auto"/>
    </w:pPr>
    <w:rPr>
      <w:sz w:val="20"/>
      <w:szCs w:val="20"/>
    </w:rPr>
  </w:style>
  <w:style w:type="character" w:customStyle="1" w:styleId="FootnoteTextChar">
    <w:name w:val="Footnote Text Char"/>
    <w:basedOn w:val="DefaultParagraphFont"/>
    <w:link w:val="FootnoteText"/>
    <w:uiPriority w:val="99"/>
    <w:rsid w:val="00300EF6"/>
    <w:rPr>
      <w:sz w:val="20"/>
      <w:szCs w:val="20"/>
    </w:rPr>
  </w:style>
  <w:style w:type="character" w:styleId="FootnoteReference">
    <w:name w:val="footnote reference"/>
    <w:basedOn w:val="DefaultParagraphFont"/>
    <w:uiPriority w:val="99"/>
    <w:semiHidden/>
    <w:unhideWhenUsed/>
    <w:rsid w:val="00300EF6"/>
    <w:rPr>
      <w:vertAlign w:val="superscript"/>
    </w:rPr>
  </w:style>
  <w:style w:type="character" w:customStyle="1" w:styleId="ListParagraphChar">
    <w:name w:val="List Paragraph Char"/>
    <w:basedOn w:val="DefaultParagraphFont"/>
    <w:link w:val="ListParagraph"/>
    <w:uiPriority w:val="34"/>
    <w:rsid w:val="003D38CA"/>
  </w:style>
  <w:style w:type="character" w:customStyle="1" w:styleId="jlqj4b">
    <w:name w:val="jlqj4b"/>
    <w:basedOn w:val="DefaultParagraphFont"/>
    <w:rsid w:val="00E4063F"/>
  </w:style>
  <w:style w:type="character" w:customStyle="1" w:styleId="titel">
    <w:name w:val="titel"/>
    <w:basedOn w:val="DefaultParagraphFont"/>
    <w:rsid w:val="00FD2453"/>
  </w:style>
  <w:style w:type="character" w:styleId="Emphasis">
    <w:name w:val="Emphasis"/>
    <w:basedOn w:val="DefaultParagraphFont"/>
    <w:uiPriority w:val="20"/>
    <w:qFormat/>
    <w:rsid w:val="00FD2453"/>
    <w:rPr>
      <w:i/>
      <w:iCs/>
    </w:rPr>
  </w:style>
  <w:style w:type="character" w:customStyle="1" w:styleId="acopre">
    <w:name w:val="acopre"/>
    <w:basedOn w:val="DefaultParagraphFont"/>
    <w:rsid w:val="00771B04"/>
  </w:style>
  <w:style w:type="paragraph" w:styleId="Header">
    <w:name w:val="header"/>
    <w:basedOn w:val="Normal"/>
    <w:link w:val="HeaderChar"/>
    <w:uiPriority w:val="99"/>
    <w:unhideWhenUsed/>
    <w:rsid w:val="00771B04"/>
    <w:pPr>
      <w:tabs>
        <w:tab w:val="center" w:pos="4252"/>
        <w:tab w:val="right" w:pos="8504"/>
      </w:tabs>
      <w:spacing w:after="0" w:line="240" w:lineRule="auto"/>
    </w:pPr>
  </w:style>
  <w:style w:type="character" w:customStyle="1" w:styleId="HeaderChar">
    <w:name w:val="Header Char"/>
    <w:basedOn w:val="DefaultParagraphFont"/>
    <w:link w:val="Header"/>
    <w:uiPriority w:val="99"/>
    <w:rsid w:val="00771B04"/>
  </w:style>
  <w:style w:type="paragraph" w:styleId="Footer">
    <w:name w:val="footer"/>
    <w:basedOn w:val="Normal"/>
    <w:link w:val="FooterChar"/>
    <w:uiPriority w:val="99"/>
    <w:unhideWhenUsed/>
    <w:rsid w:val="00771B04"/>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1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1477</Words>
  <Characters>8421</Characters>
  <Application>Microsoft Office Word</Application>
  <DocSecurity>0</DocSecurity>
  <Lines>70</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 Gonçalves Machado</dc:creator>
  <cp:keywords/>
  <dc:description/>
  <cp:lastModifiedBy>Paul Newson</cp:lastModifiedBy>
  <cp:revision>4</cp:revision>
  <dcterms:created xsi:type="dcterms:W3CDTF">2026-01-15T10:07:00Z</dcterms:created>
  <dcterms:modified xsi:type="dcterms:W3CDTF">2026-01-20T16:15:00Z</dcterms:modified>
</cp:coreProperties>
</file>