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A2A3D" w14:textId="77777777" w:rsidR="005D783E" w:rsidRPr="002E481E" w:rsidRDefault="005D783E" w:rsidP="00C46809">
      <w:pPr>
        <w:spacing w:after="0"/>
        <w:rPr>
          <w:rFonts w:ascii="Times New Roman" w:hAnsi="Times New Roman"/>
          <w:sz w:val="24"/>
          <w:szCs w:val="24"/>
        </w:rPr>
      </w:pPr>
    </w:p>
    <w:p w14:paraId="247CF4C1" w14:textId="77777777" w:rsidR="0091176A" w:rsidRPr="002E481E" w:rsidRDefault="0091176A" w:rsidP="00C46809">
      <w:pPr>
        <w:spacing w:after="0"/>
        <w:contextualSpacing/>
        <w:jc w:val="center"/>
        <w:rPr>
          <w:rFonts w:ascii="Times New Roman" w:hAnsi="Times New Roman"/>
          <w:b/>
          <w:sz w:val="24"/>
          <w:szCs w:val="24"/>
        </w:rPr>
      </w:pPr>
      <w:r w:rsidRPr="002E481E">
        <w:rPr>
          <w:rFonts w:ascii="Times New Roman" w:hAnsi="Times New Roman"/>
          <w:b/>
          <w:noProof/>
          <w:sz w:val="24"/>
          <w:szCs w:val="24"/>
          <w:lang w:val="en-US" w:eastAsia="en-US"/>
        </w:rPr>
        <w:drawing>
          <wp:inline distT="0" distB="0" distL="0" distR="0" wp14:anchorId="68C65D83" wp14:editId="1CFE6849">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095671F4" w14:textId="77777777" w:rsidR="00617533" w:rsidRPr="002E481E" w:rsidRDefault="00617533" w:rsidP="00C46809">
      <w:pPr>
        <w:spacing w:after="0"/>
        <w:jc w:val="center"/>
        <w:rPr>
          <w:rFonts w:ascii="Times New Roman" w:hAnsi="Times New Roman"/>
          <w:b/>
          <w:sz w:val="24"/>
          <w:szCs w:val="24"/>
        </w:rPr>
      </w:pPr>
    </w:p>
    <w:p w14:paraId="545E44B6" w14:textId="34DC332B" w:rsidR="00617533" w:rsidRPr="002E481E" w:rsidRDefault="0060364B" w:rsidP="00C46809">
      <w:pPr>
        <w:spacing w:after="0"/>
        <w:jc w:val="center"/>
        <w:rPr>
          <w:rFonts w:ascii="Times New Roman" w:hAnsi="Times New Roman"/>
          <w:b/>
          <w:sz w:val="28"/>
          <w:szCs w:val="28"/>
        </w:rPr>
      </w:pPr>
      <w:r>
        <w:rPr>
          <w:rFonts w:ascii="Times New Roman" w:hAnsi="Times New Roman"/>
          <w:b/>
          <w:sz w:val="28"/>
          <w:szCs w:val="28"/>
        </w:rPr>
        <w:t>Inside Story</w:t>
      </w:r>
      <w:r w:rsidR="00E00BC2">
        <w:rPr>
          <w:rFonts w:ascii="Times New Roman" w:hAnsi="Times New Roman"/>
          <w:b/>
          <w:sz w:val="28"/>
          <w:szCs w:val="28"/>
        </w:rPr>
        <w:t>: February 2006</w:t>
      </w:r>
    </w:p>
    <w:p w14:paraId="3F7EEBFB" w14:textId="77777777" w:rsidR="00617533" w:rsidRPr="002E481E" w:rsidRDefault="00617533" w:rsidP="00C46809">
      <w:pPr>
        <w:spacing w:after="0"/>
        <w:jc w:val="center"/>
        <w:rPr>
          <w:rFonts w:ascii="Times New Roman" w:hAnsi="Times New Roman"/>
          <w:b/>
          <w:sz w:val="28"/>
          <w:szCs w:val="28"/>
        </w:rPr>
      </w:pPr>
    </w:p>
    <w:p w14:paraId="65E7FEB1" w14:textId="6A109B21" w:rsidR="00E00BC2" w:rsidRPr="00E00BC2" w:rsidRDefault="00E00BC2" w:rsidP="00E00BC2">
      <w:pPr>
        <w:spacing w:after="0"/>
        <w:jc w:val="center"/>
        <w:rPr>
          <w:rFonts w:ascii="Times New Roman" w:hAnsi="Times New Roman"/>
          <w:b/>
          <w:bCs/>
          <w:sz w:val="28"/>
          <w:szCs w:val="28"/>
          <w:lang w:val="sl-SI"/>
        </w:rPr>
      </w:pPr>
      <w:r w:rsidRPr="00E00BC2">
        <w:rPr>
          <w:rFonts w:ascii="Times New Roman" w:hAnsi="Times New Roman"/>
          <w:b/>
          <w:bCs/>
          <w:sz w:val="28"/>
          <w:szCs w:val="28"/>
          <w:lang w:val="sl-SI"/>
        </w:rPr>
        <w:t>Lost in Transplantation: North Macedonia’s New Insolvency Law</w:t>
      </w:r>
    </w:p>
    <w:p w14:paraId="5C9FDC72" w14:textId="77777777" w:rsidR="00617533" w:rsidRPr="002E481E" w:rsidRDefault="00617533" w:rsidP="00C46809">
      <w:pPr>
        <w:spacing w:after="0"/>
        <w:jc w:val="center"/>
        <w:rPr>
          <w:rFonts w:ascii="Times New Roman" w:hAnsi="Times New Roman"/>
          <w:b/>
          <w:sz w:val="24"/>
          <w:szCs w:val="24"/>
        </w:rPr>
      </w:pPr>
    </w:p>
    <w:p w14:paraId="58149BC7" w14:textId="73CC876A" w:rsidR="001C462C" w:rsidRDefault="001C462C" w:rsidP="00C46809">
      <w:pPr>
        <w:spacing w:after="0"/>
        <w:jc w:val="center"/>
        <w:rPr>
          <w:rFonts w:ascii="Times New Roman" w:hAnsi="Times New Roman"/>
          <w:i/>
          <w:sz w:val="24"/>
          <w:szCs w:val="24"/>
        </w:rPr>
      </w:pPr>
      <w:r>
        <w:rPr>
          <w:rFonts w:ascii="Times New Roman" w:hAnsi="Times New Roman"/>
          <w:i/>
          <w:sz w:val="24"/>
          <w:szCs w:val="24"/>
        </w:rPr>
        <w:t>Marinela Majnova</w:t>
      </w:r>
      <w:r w:rsidR="00C54799" w:rsidRPr="002E481E">
        <w:rPr>
          <w:rFonts w:ascii="Times New Roman" w:hAnsi="Times New Roman"/>
          <w:i/>
          <w:sz w:val="24"/>
          <w:szCs w:val="24"/>
        </w:rPr>
        <w:t xml:space="preserve">, </w:t>
      </w:r>
      <w:r>
        <w:rPr>
          <w:rFonts w:ascii="Times New Roman" w:hAnsi="Times New Roman"/>
          <w:i/>
          <w:sz w:val="24"/>
          <w:szCs w:val="24"/>
        </w:rPr>
        <w:t xml:space="preserve">Ph.D. </w:t>
      </w:r>
      <w:r w:rsidR="006662A9">
        <w:rPr>
          <w:rFonts w:ascii="Times New Roman" w:hAnsi="Times New Roman"/>
          <w:i/>
          <w:sz w:val="24"/>
          <w:szCs w:val="24"/>
        </w:rPr>
        <w:t>C</w:t>
      </w:r>
      <w:r>
        <w:rPr>
          <w:rFonts w:ascii="Times New Roman" w:hAnsi="Times New Roman"/>
          <w:i/>
          <w:sz w:val="24"/>
          <w:szCs w:val="24"/>
        </w:rPr>
        <w:t>andidate</w:t>
      </w:r>
      <w:r w:rsidR="006662A9">
        <w:rPr>
          <w:rFonts w:ascii="Times New Roman" w:hAnsi="Times New Roman"/>
          <w:i/>
          <w:sz w:val="24"/>
          <w:szCs w:val="24"/>
        </w:rPr>
        <w:t>,</w:t>
      </w:r>
      <w:r>
        <w:rPr>
          <w:rFonts w:ascii="Times New Roman" w:hAnsi="Times New Roman"/>
          <w:i/>
          <w:sz w:val="24"/>
          <w:szCs w:val="24"/>
        </w:rPr>
        <w:t xml:space="preserve"> School of Economics and Business, University of Ljubljana, Slovenia</w:t>
      </w:r>
    </w:p>
    <w:p w14:paraId="530BE1BE" w14:textId="1268C958" w:rsidR="00C54799" w:rsidRPr="002E481E" w:rsidRDefault="0091176A" w:rsidP="00C46809">
      <w:pPr>
        <w:spacing w:after="0"/>
        <w:jc w:val="center"/>
        <w:rPr>
          <w:rFonts w:ascii="Times New Roman" w:hAnsi="Times New Roman"/>
          <w:i/>
          <w:sz w:val="24"/>
          <w:szCs w:val="24"/>
        </w:rPr>
      </w:pPr>
      <w:r w:rsidRPr="002E481E">
        <w:rPr>
          <w:rFonts w:ascii="Times New Roman" w:hAnsi="Times New Roman"/>
          <w:i/>
          <w:sz w:val="24"/>
          <w:szCs w:val="24"/>
        </w:rPr>
        <w:t xml:space="preserve"> Email:</w:t>
      </w:r>
      <w:r w:rsidR="001C462C">
        <w:rPr>
          <w:rFonts w:ascii="Times New Roman" w:hAnsi="Times New Roman"/>
          <w:i/>
          <w:sz w:val="24"/>
          <w:szCs w:val="24"/>
        </w:rPr>
        <w:t xml:space="preserve"> &lt;marinelamajnova</w:t>
      </w:r>
      <w:r w:rsidR="00C54799" w:rsidRPr="002E481E">
        <w:rPr>
          <w:rFonts w:ascii="Times New Roman" w:hAnsi="Times New Roman"/>
          <w:i/>
          <w:sz w:val="24"/>
          <w:szCs w:val="24"/>
        </w:rPr>
        <w:t>@gmail.com&gt;</w:t>
      </w:r>
      <w:r w:rsidRPr="002E481E">
        <w:rPr>
          <w:rFonts w:ascii="Times New Roman" w:hAnsi="Times New Roman"/>
          <w:i/>
          <w:sz w:val="24"/>
          <w:szCs w:val="24"/>
        </w:rPr>
        <w:t>.</w:t>
      </w:r>
    </w:p>
    <w:p w14:paraId="4C0F3661" w14:textId="77777777" w:rsidR="00617533" w:rsidRPr="002E481E" w:rsidRDefault="00617533" w:rsidP="00C46809">
      <w:pPr>
        <w:spacing w:after="0"/>
        <w:jc w:val="center"/>
        <w:rPr>
          <w:rFonts w:ascii="Times New Roman" w:hAnsi="Times New Roman"/>
          <w:b/>
          <w:sz w:val="24"/>
          <w:szCs w:val="24"/>
        </w:rPr>
      </w:pPr>
    </w:p>
    <w:p w14:paraId="6DE3035C" w14:textId="68FDE813" w:rsidR="00C54799" w:rsidRPr="002E481E" w:rsidRDefault="00C54799" w:rsidP="00C46809">
      <w:pPr>
        <w:pStyle w:val="Body"/>
        <w:jc w:val="both"/>
        <w:rPr>
          <w:rFonts w:cs="Times New Roman"/>
          <w:b/>
          <w:bCs/>
          <w:sz w:val="24"/>
          <w:szCs w:val="24"/>
          <w:lang w:val="en-GB"/>
        </w:rPr>
      </w:pPr>
      <w:r w:rsidRPr="002E481E">
        <w:rPr>
          <w:rFonts w:cs="Times New Roman"/>
          <w:bCs/>
          <w:i/>
          <w:sz w:val="24"/>
          <w:szCs w:val="24"/>
          <w:lang w:val="en-GB"/>
        </w:rPr>
        <w:t>Introduction</w:t>
      </w:r>
    </w:p>
    <w:p w14:paraId="3904DEAE" w14:textId="77777777" w:rsidR="00C54799" w:rsidRPr="00E00BC2" w:rsidRDefault="00C54799" w:rsidP="00E00BC2">
      <w:pPr>
        <w:pStyle w:val="Body"/>
        <w:jc w:val="both"/>
        <w:rPr>
          <w:rFonts w:cs="Times New Roman"/>
          <w:b/>
          <w:bCs/>
          <w:sz w:val="24"/>
          <w:szCs w:val="24"/>
          <w:lang w:val="en-GB"/>
        </w:rPr>
      </w:pPr>
    </w:p>
    <w:p w14:paraId="6093B482" w14:textId="77777777" w:rsidR="00E00BC2" w:rsidRDefault="00E00BC2" w:rsidP="00E00BC2">
      <w:pPr>
        <w:spacing w:after="0"/>
        <w:rPr>
          <w:rFonts w:ascii="Times New Roman" w:hAnsi="Times New Roman"/>
          <w:bCs/>
          <w:sz w:val="24"/>
          <w:szCs w:val="24"/>
        </w:rPr>
      </w:pPr>
      <w:r w:rsidRPr="00E00BC2">
        <w:rPr>
          <w:rFonts w:ascii="Times New Roman" w:hAnsi="Times New Roman"/>
          <w:bCs/>
          <w:sz w:val="24"/>
          <w:szCs w:val="24"/>
        </w:rPr>
        <w:t xml:space="preserve">Over the past three decades, the countries of the Western Balkans have engaged in an intensive process of legislative harmonization with European Union legislation, formally aligning their national legal frameworks with the </w:t>
      </w:r>
      <w:r w:rsidRPr="00E00BC2">
        <w:rPr>
          <w:rFonts w:ascii="Times New Roman" w:hAnsi="Times New Roman"/>
          <w:bCs/>
          <w:i/>
          <w:iCs/>
          <w:sz w:val="24"/>
          <w:szCs w:val="24"/>
        </w:rPr>
        <w:t>acquis communautaire</w:t>
      </w:r>
      <w:r w:rsidRPr="00E00BC2">
        <w:rPr>
          <w:rFonts w:ascii="Times New Roman" w:hAnsi="Times New Roman"/>
          <w:bCs/>
          <w:sz w:val="24"/>
          <w:szCs w:val="24"/>
        </w:rPr>
        <w:t xml:space="preserve"> in anticipation of long-awaited EU membership.</w:t>
      </w:r>
      <w:r w:rsidRPr="00E00BC2">
        <w:rPr>
          <w:rFonts w:ascii="Times New Roman" w:hAnsi="Times New Roman"/>
          <w:sz w:val="24"/>
          <w:szCs w:val="24"/>
        </w:rPr>
        <w:t xml:space="preserve"> </w:t>
      </w:r>
      <w:r w:rsidRPr="00E00BC2">
        <w:rPr>
          <w:rFonts w:ascii="Times New Roman" w:hAnsi="Times New Roman"/>
          <w:bCs/>
          <w:sz w:val="24"/>
          <w:szCs w:val="24"/>
        </w:rPr>
        <w:t>In practice, however, this process has frequently prioritized the rapid formal adoption of legal norms over their substantive integration into domestic institutional structures, leading to a phenomenon often described as being “lost in transplantation”</w:t>
      </w:r>
      <w:r>
        <w:rPr>
          <w:rFonts w:ascii="Times New Roman" w:hAnsi="Times New Roman"/>
          <w:bCs/>
          <w:sz w:val="24"/>
          <w:szCs w:val="24"/>
        </w:rPr>
        <w:t>.</w:t>
      </w:r>
      <w:r w:rsidRPr="00E00BC2">
        <w:rPr>
          <w:rFonts w:ascii="Times New Roman" w:hAnsi="Times New Roman"/>
          <w:bCs/>
          <w:sz w:val="24"/>
          <w:szCs w:val="24"/>
        </w:rPr>
        <w:t xml:space="preserve"> As a result, legal transplantation in the region has often been largely symbolic, producing regulatory frameworks that exist primarily on paper and lack the administrative capacity, professional expertise, and political commitment necessary for effective implementation.</w:t>
      </w:r>
    </w:p>
    <w:p w14:paraId="6F84C49F" w14:textId="77777777" w:rsidR="00E00BC2" w:rsidRDefault="00E00BC2" w:rsidP="00E00BC2">
      <w:pPr>
        <w:spacing w:after="0"/>
        <w:rPr>
          <w:rFonts w:ascii="Times New Roman" w:hAnsi="Times New Roman"/>
          <w:bCs/>
          <w:sz w:val="24"/>
          <w:szCs w:val="24"/>
        </w:rPr>
      </w:pPr>
    </w:p>
    <w:p w14:paraId="23506953" w14:textId="1D80C14F" w:rsidR="00E00BC2" w:rsidRPr="00E00BC2" w:rsidRDefault="00E00BC2" w:rsidP="00E00BC2">
      <w:pPr>
        <w:spacing w:after="0"/>
        <w:rPr>
          <w:rFonts w:ascii="Times New Roman" w:hAnsi="Times New Roman"/>
          <w:bCs/>
          <w:sz w:val="24"/>
          <w:szCs w:val="24"/>
        </w:rPr>
      </w:pPr>
      <w:r w:rsidRPr="00E00BC2">
        <w:rPr>
          <w:rFonts w:ascii="Times New Roman" w:hAnsi="Times New Roman"/>
          <w:bCs/>
          <w:sz w:val="24"/>
          <w:szCs w:val="24"/>
        </w:rPr>
        <w:t>North Macedonia is not an exception. The legislative process has increasingly been reduced to a procedural exercise, with Parliament functioning less as a deliberative body and more as a high-cost notarial institution tasked with the expedited formalization of executive initiatives. Laws are routinely adopted with limited substantive debate, insufficient impact assessment, and minimal consideration of institutional readiness for enforcement. This approach has resulted in a proliferation of legislation that is formally compliant with European standards but functionally disconnected from domestic legal and socio-economic realities. The proposed new Insolvency Law is a practical example of this dysfunctional legislative practice. Although officially presented as a key reform aimed at modernizing the insolvency framework and aligning it with EU norms, the law has become entangled in an overly complex and poorly coordinated legislative process, and is still not enacted.</w:t>
      </w:r>
    </w:p>
    <w:p w14:paraId="5EE54841" w14:textId="77777777" w:rsidR="00E00BC2" w:rsidRPr="00E00BC2" w:rsidRDefault="00E00BC2" w:rsidP="00E00BC2">
      <w:pPr>
        <w:spacing w:after="0"/>
        <w:rPr>
          <w:rFonts w:ascii="Times New Roman" w:hAnsi="Times New Roman"/>
          <w:bCs/>
          <w:sz w:val="24"/>
          <w:szCs w:val="24"/>
        </w:rPr>
      </w:pPr>
    </w:p>
    <w:p w14:paraId="1D11C650" w14:textId="77777777" w:rsidR="00E00BC2" w:rsidRPr="00E00BC2" w:rsidRDefault="00E00BC2" w:rsidP="00E00BC2">
      <w:pPr>
        <w:spacing w:after="0"/>
        <w:rPr>
          <w:rFonts w:ascii="Times New Roman" w:hAnsi="Times New Roman"/>
          <w:bCs/>
          <w:i/>
          <w:iCs/>
          <w:sz w:val="24"/>
          <w:szCs w:val="24"/>
        </w:rPr>
      </w:pPr>
      <w:r w:rsidRPr="00E00BC2">
        <w:rPr>
          <w:rFonts w:ascii="Times New Roman" w:hAnsi="Times New Roman"/>
          <w:bCs/>
          <w:i/>
          <w:iCs/>
          <w:sz w:val="24"/>
          <w:szCs w:val="24"/>
        </w:rPr>
        <w:t>Evolution of insolvency law in North Macedonia 1991-2021</w:t>
      </w:r>
    </w:p>
    <w:p w14:paraId="4DF19B04" w14:textId="77777777" w:rsidR="00E00BC2" w:rsidRPr="00E00BC2" w:rsidRDefault="00E00BC2" w:rsidP="00E00BC2">
      <w:pPr>
        <w:pStyle w:val="NormalWeb"/>
        <w:spacing w:before="0" w:beforeAutospacing="0" w:after="0" w:afterAutospacing="0"/>
        <w:jc w:val="both"/>
        <w:rPr>
          <w:color w:val="000000"/>
        </w:rPr>
      </w:pPr>
    </w:p>
    <w:p w14:paraId="48D4CBE2" w14:textId="77777777" w:rsidR="00E00BC2" w:rsidRPr="00E00BC2" w:rsidRDefault="00E00BC2" w:rsidP="00E00BC2">
      <w:pPr>
        <w:pStyle w:val="NormalWeb"/>
        <w:spacing w:before="0" w:beforeAutospacing="0" w:after="0" w:afterAutospacing="0"/>
        <w:jc w:val="both"/>
        <w:rPr>
          <w:color w:val="000000"/>
        </w:rPr>
      </w:pPr>
      <w:r w:rsidRPr="00E00BC2">
        <w:rPr>
          <w:color w:val="000000"/>
        </w:rPr>
        <w:t xml:space="preserve">The development of insolvency legislation in the Republic of North Macedonia can be divided into two main periods: the socialist period prior to 1989 and the post-1989 transition toward a market-based legal framework. Before 1989, insolvency was not regulated through formal legal procedures but managed administratively by the state within the framework of a centrally planned economy. Distressed enterprises were subject to compulsory administration, and </w:t>
      </w:r>
      <w:r w:rsidRPr="00E00BC2">
        <w:rPr>
          <w:color w:val="000000"/>
        </w:rPr>
        <w:lastRenderedPageBreak/>
        <w:t>insolvency issues were resolved through political and administrative mechanisms rather than market-based creditor–debtor relations. Although several legislative acts were adopted in socialist Yugoslavia to address enterprise distress—introducing concepts such as liquidation, rehabilitation, and forced settlement—these frameworks proved largely ineffective and incompatible with the emerging contractual economy.</w:t>
      </w:r>
    </w:p>
    <w:p w14:paraId="269E785E" w14:textId="77777777" w:rsidR="00E00BC2" w:rsidRPr="00E00BC2" w:rsidRDefault="00E00BC2" w:rsidP="00E00BC2">
      <w:pPr>
        <w:pStyle w:val="NormalWeb"/>
        <w:spacing w:before="0" w:beforeAutospacing="0" w:after="0" w:afterAutospacing="0"/>
        <w:jc w:val="both"/>
        <w:rPr>
          <w:color w:val="000000"/>
        </w:rPr>
      </w:pPr>
    </w:p>
    <w:p w14:paraId="287C6AC4" w14:textId="77777777" w:rsidR="00E00BC2" w:rsidRPr="00E00BC2" w:rsidRDefault="00E00BC2" w:rsidP="00E00BC2">
      <w:pPr>
        <w:pStyle w:val="NormalWeb"/>
        <w:spacing w:before="0" w:beforeAutospacing="0" w:after="0" w:afterAutospacing="0"/>
        <w:jc w:val="both"/>
        <w:rPr>
          <w:color w:val="000000"/>
        </w:rPr>
      </w:pPr>
      <w:r w:rsidRPr="00E00BC2">
        <w:rPr>
          <w:color w:val="000000"/>
        </w:rPr>
        <w:t>A significant shift occurred in 1989 with the adoption of the Law on Compulsory Settlement, Bankruptcy, and Liquidation,</w:t>
      </w:r>
      <w:r w:rsidRPr="00E00BC2">
        <w:rPr>
          <w:rStyle w:val="FootnoteReference"/>
          <w:color w:val="000000"/>
        </w:rPr>
        <w:footnoteReference w:id="1"/>
      </w:r>
      <w:r w:rsidRPr="00E00BC2">
        <w:rPr>
          <w:color w:val="000000"/>
        </w:rPr>
        <w:t xml:space="preserve"> which introduced a formal insolvency regime for the first time. While the law established judicial oversight of bankruptcy proceedings and structured creditor settlements, its implementation suffered from serious institutional deficiencies, including inadequate judicial expertise and the absence of clear standards for the appointment of bankruptcy trustees. Nevertheless, the law represented an important transitional step toward market-oriented insolvency regulation.</w:t>
      </w:r>
    </w:p>
    <w:p w14:paraId="4818B905" w14:textId="77777777" w:rsidR="00E00BC2" w:rsidRPr="00E00BC2" w:rsidRDefault="00E00BC2" w:rsidP="00E00BC2">
      <w:pPr>
        <w:pStyle w:val="NormalWeb"/>
        <w:spacing w:before="0" w:beforeAutospacing="0" w:after="0" w:afterAutospacing="0"/>
        <w:jc w:val="both"/>
        <w:rPr>
          <w:color w:val="000000"/>
        </w:rPr>
      </w:pPr>
    </w:p>
    <w:p w14:paraId="777ECA28" w14:textId="77777777" w:rsidR="00E00BC2" w:rsidRPr="00E00BC2" w:rsidRDefault="00E00BC2" w:rsidP="00E00BC2">
      <w:pPr>
        <w:pStyle w:val="NormalWeb"/>
        <w:spacing w:before="0" w:beforeAutospacing="0" w:after="0" w:afterAutospacing="0"/>
        <w:jc w:val="both"/>
        <w:rPr>
          <w:color w:val="000000"/>
        </w:rPr>
      </w:pPr>
      <w:r w:rsidRPr="00E00BC2">
        <w:rPr>
          <w:color w:val="000000"/>
        </w:rPr>
        <w:t>Following independence, North Macedonia inherited a fragile legal and economic system. The 1989 law remained in force until 1997, when the first Bankruptcy Law was enacted.</w:t>
      </w:r>
      <w:r w:rsidRPr="00E00BC2">
        <w:rPr>
          <w:rStyle w:val="FootnoteReference"/>
          <w:color w:val="000000"/>
        </w:rPr>
        <w:footnoteReference w:id="2"/>
      </w:r>
      <w:r w:rsidRPr="00E00BC2">
        <w:rPr>
          <w:color w:val="000000"/>
        </w:rPr>
        <w:t xml:space="preserve"> Influenced primarily by German insolvency models and positively evaluated by the EBRD, the 1997 law aimed to align domestic insolvency regulation with European standards. However, its practical application revealed significant shortcomings, including procedural complexity, legal ambiguities, inefficient asset realization, and limited regulation of cross-border insolvency. These deficiencies prompted multiple amendments between 2000 and 2004,</w:t>
      </w:r>
      <w:r w:rsidRPr="00E00BC2">
        <w:rPr>
          <w:rStyle w:val="FootnoteReference"/>
          <w:color w:val="000000"/>
        </w:rPr>
        <w:footnoteReference w:id="3"/>
      </w:r>
      <w:r w:rsidRPr="00E00BC2">
        <w:rPr>
          <w:color w:val="000000"/>
        </w:rPr>
        <w:t xml:space="preserve"> which introduced reforms related to bankruptcy trustees, initiation procedures, and asset sales, but also reintroduced problematic elements such as state priority claims and administrative interference.</w:t>
      </w:r>
    </w:p>
    <w:p w14:paraId="561E5C76" w14:textId="77777777" w:rsidR="00E00BC2" w:rsidRPr="00E00BC2" w:rsidRDefault="00E00BC2" w:rsidP="00E00BC2">
      <w:pPr>
        <w:pStyle w:val="NormalWeb"/>
        <w:spacing w:before="0" w:beforeAutospacing="0" w:after="0" w:afterAutospacing="0"/>
        <w:jc w:val="both"/>
        <w:rPr>
          <w:color w:val="000000"/>
        </w:rPr>
      </w:pPr>
    </w:p>
    <w:p w14:paraId="65CE057D" w14:textId="77777777" w:rsidR="00E00BC2" w:rsidRPr="00E00BC2" w:rsidRDefault="00E00BC2" w:rsidP="00E00BC2">
      <w:pPr>
        <w:pStyle w:val="NormalWeb"/>
        <w:spacing w:before="0" w:beforeAutospacing="0" w:after="0" w:afterAutospacing="0"/>
        <w:jc w:val="both"/>
        <w:rPr>
          <w:color w:val="000000"/>
        </w:rPr>
      </w:pPr>
      <w:r w:rsidRPr="00E00BC2">
        <w:rPr>
          <w:color w:val="000000"/>
        </w:rPr>
        <w:t>Empirical assessments by the World Bank and IFC further highlighted systemic inefficiencies, including high costs, excessive duration of proceedings, and low recovery rates. The absence of specialized insolvency courts and insufficient judicial specialization contributed to inconsistent judicial practice and application of the law. These persistent weaknesses led to the adoption of a new Bankruptcy Law in 2006,</w:t>
      </w:r>
      <w:r w:rsidRPr="00E00BC2">
        <w:rPr>
          <w:rStyle w:val="FootnoteReference"/>
          <w:color w:val="000000"/>
        </w:rPr>
        <w:footnoteReference w:id="4"/>
      </w:r>
      <w:r w:rsidRPr="00E00BC2">
        <w:rPr>
          <w:color w:val="000000"/>
        </w:rPr>
        <w:t xml:space="preserve"> developed with the support of international experts and institutions.</w:t>
      </w:r>
      <w:r w:rsidRPr="00E00BC2">
        <w:rPr>
          <w:rStyle w:val="FootnoteReference"/>
          <w:color w:val="000000"/>
        </w:rPr>
        <w:footnoteReference w:id="5"/>
      </w:r>
      <w:r w:rsidRPr="00E00BC2">
        <w:rPr>
          <w:color w:val="000000"/>
        </w:rPr>
        <w:t xml:space="preserve"> The 2006 framework emphasized procedural efficiency by introducing a preliminary procedure and strict statutory deadlines aimed at expediting insolvency proceedings. Despite its strong theoretical design, the 2006 law failed to resolve longstanding structural problems. A substantial backlog of cases initiated under earlier legislation remained unresolved, while proceedings initiated under the new law often exceeded statutory time limits. </w:t>
      </w:r>
    </w:p>
    <w:p w14:paraId="2BB57875" w14:textId="77777777" w:rsidR="00E00BC2" w:rsidRPr="00E00BC2" w:rsidRDefault="00E00BC2" w:rsidP="00E00BC2">
      <w:pPr>
        <w:pStyle w:val="NormalWeb"/>
        <w:spacing w:before="0" w:beforeAutospacing="0" w:after="0" w:afterAutospacing="0"/>
        <w:jc w:val="both"/>
        <w:rPr>
          <w:color w:val="000000"/>
        </w:rPr>
      </w:pPr>
      <w:r w:rsidRPr="00E00BC2">
        <w:rPr>
          <w:color w:val="000000"/>
        </w:rPr>
        <w:t>After several amendments, in 2021, the Government decided to present new insolvency law that would resolve all these problems.</w:t>
      </w:r>
    </w:p>
    <w:p w14:paraId="6BDAF77E" w14:textId="77777777" w:rsidR="00E00BC2" w:rsidRPr="00E00BC2" w:rsidRDefault="00E00BC2" w:rsidP="00E00BC2">
      <w:pPr>
        <w:pStyle w:val="NormalWeb"/>
        <w:spacing w:before="0" w:beforeAutospacing="0" w:after="0" w:afterAutospacing="0"/>
        <w:jc w:val="both"/>
        <w:rPr>
          <w:color w:val="000000"/>
        </w:rPr>
      </w:pPr>
    </w:p>
    <w:p w14:paraId="4A55988E" w14:textId="5377E832" w:rsidR="00E00BC2" w:rsidRPr="00E00BC2" w:rsidRDefault="00E00BC2" w:rsidP="00E00BC2">
      <w:pPr>
        <w:spacing w:after="0"/>
        <w:rPr>
          <w:rFonts w:ascii="Times New Roman" w:hAnsi="Times New Roman"/>
          <w:i/>
          <w:iCs/>
          <w:sz w:val="24"/>
          <w:szCs w:val="24"/>
        </w:rPr>
      </w:pPr>
      <w:r w:rsidRPr="00E00BC2">
        <w:rPr>
          <w:rFonts w:ascii="Times New Roman" w:hAnsi="Times New Roman"/>
          <w:i/>
          <w:iCs/>
          <w:sz w:val="24"/>
          <w:szCs w:val="24"/>
        </w:rPr>
        <w:t>The new Insolvency Law from 2021</w:t>
      </w:r>
    </w:p>
    <w:p w14:paraId="50CA5C1F" w14:textId="77777777" w:rsidR="00E00BC2" w:rsidRPr="00E00BC2" w:rsidRDefault="00E00BC2" w:rsidP="00E00BC2">
      <w:pPr>
        <w:pStyle w:val="NormalWeb"/>
        <w:spacing w:before="0" w:beforeAutospacing="0" w:after="0" w:afterAutospacing="0"/>
        <w:jc w:val="both"/>
        <w:rPr>
          <w:color w:val="000000"/>
        </w:rPr>
      </w:pPr>
    </w:p>
    <w:p w14:paraId="7E3CF79C" w14:textId="3A139750" w:rsidR="00E00BC2" w:rsidRDefault="00E00BC2" w:rsidP="00E00BC2">
      <w:pPr>
        <w:spacing w:after="0"/>
        <w:rPr>
          <w:rFonts w:ascii="Times New Roman" w:hAnsi="Times New Roman"/>
          <w:sz w:val="24"/>
          <w:szCs w:val="24"/>
        </w:rPr>
      </w:pPr>
      <w:r w:rsidRPr="00E00BC2">
        <w:rPr>
          <w:rFonts w:ascii="Times New Roman" w:hAnsi="Times New Roman"/>
          <w:sz w:val="24"/>
          <w:szCs w:val="24"/>
        </w:rPr>
        <w:lastRenderedPageBreak/>
        <w:t>The new Insolvency Law was drafted through a collaborative effort between the Ministry of Economy and the International Financial Corporation (IFC). The law was anticipated to establish a robust and coherent legal framework, effectively regulating the insolvency system in an integrated and efficient manner.</w:t>
      </w:r>
    </w:p>
    <w:p w14:paraId="1CA0A70A" w14:textId="77777777" w:rsidR="00E00BC2" w:rsidRPr="00E00BC2" w:rsidRDefault="00E00BC2" w:rsidP="00E00BC2">
      <w:pPr>
        <w:spacing w:after="0"/>
        <w:rPr>
          <w:rFonts w:ascii="Times New Roman" w:hAnsi="Times New Roman"/>
          <w:sz w:val="24"/>
          <w:szCs w:val="24"/>
        </w:rPr>
      </w:pPr>
    </w:p>
    <w:p w14:paraId="03F42086" w14:textId="5A34EF57" w:rsidR="00E00BC2" w:rsidRDefault="00E00BC2" w:rsidP="00E00BC2">
      <w:pPr>
        <w:spacing w:after="0"/>
        <w:rPr>
          <w:rFonts w:ascii="Times New Roman" w:hAnsi="Times New Roman"/>
          <w:sz w:val="24"/>
          <w:szCs w:val="24"/>
        </w:rPr>
      </w:pPr>
      <w:r w:rsidRPr="00E00BC2">
        <w:rPr>
          <w:rFonts w:ascii="Times New Roman" w:hAnsi="Times New Roman"/>
          <w:sz w:val="24"/>
          <w:szCs w:val="24"/>
        </w:rPr>
        <w:t>The draft law comprises 473 articles organized into 13 distinct parts, each addressing a specific aspect of the insolvency framework.</w:t>
      </w:r>
      <w:r w:rsidRPr="00E00BC2">
        <w:rPr>
          <w:rStyle w:val="FootnoteReference"/>
          <w:rFonts w:ascii="Times New Roman" w:hAnsi="Times New Roman"/>
          <w:sz w:val="24"/>
          <w:szCs w:val="24"/>
        </w:rPr>
        <w:footnoteReference w:id="6"/>
      </w:r>
      <w:r w:rsidRPr="00E00BC2">
        <w:rPr>
          <w:rFonts w:ascii="Times New Roman" w:hAnsi="Times New Roman"/>
          <w:sz w:val="24"/>
          <w:szCs w:val="24"/>
        </w:rPr>
        <w:t xml:space="preserve"> These parts include: general provisions; fundamental procedural regulations; preventive restructuring procedures; pre-bankruptcy reorganization procedures; bankruptcy procedures; management and administration of the bankruptcy estate, including the disposal of assets; registration and verification of creditors' claims within bankruptcy proceedings; determination of asset disposal methods; reorganization plans; debtor self-management; discharge from remaining liabilities; specialized forms of bankruptcy proceedings; international bankruptcy provisions; and transitional and final provisions.</w:t>
      </w:r>
    </w:p>
    <w:p w14:paraId="3BCECC19" w14:textId="77777777" w:rsidR="00E00BC2" w:rsidRPr="00E00BC2" w:rsidRDefault="00E00BC2" w:rsidP="00E00BC2">
      <w:pPr>
        <w:spacing w:after="0"/>
        <w:rPr>
          <w:rFonts w:ascii="Times New Roman" w:hAnsi="Times New Roman"/>
          <w:sz w:val="24"/>
          <w:szCs w:val="24"/>
        </w:rPr>
      </w:pPr>
    </w:p>
    <w:p w14:paraId="47906A1A" w14:textId="77777777" w:rsidR="00E00BC2" w:rsidRPr="00E00BC2" w:rsidRDefault="00E00BC2" w:rsidP="00E00BC2">
      <w:pPr>
        <w:pStyle w:val="NormalWeb"/>
        <w:spacing w:before="0" w:beforeAutospacing="0" w:after="0" w:afterAutospacing="0"/>
        <w:jc w:val="both"/>
      </w:pPr>
      <w:r w:rsidRPr="00E00BC2">
        <w:t>The main idea behind this legislative novelty was bigger than just unification of the insolvency legal framework. One of the main intentions was to change the whole perception i.e. mindset of the entrepreneurs and the purpose of insolvency as institute. For more than 20 years insolvency in North Macedonia was used only as a tool for closure and company deletion. The insolvency itself was not perceived as a mechanism for salvation of the companies, but rather as their funeral, and this is what this new insolvency law is trying to change. This is also visible in the document sent to the Parliament in 2021 where the justification and need of the draft law are elaborated.</w:t>
      </w:r>
      <w:r w:rsidRPr="00E00BC2">
        <w:rPr>
          <w:rStyle w:val="FootnoteReference"/>
        </w:rPr>
        <w:footnoteReference w:id="7"/>
      </w:r>
    </w:p>
    <w:p w14:paraId="0A4354D8" w14:textId="77777777" w:rsidR="00E00BC2" w:rsidRPr="00E00BC2" w:rsidRDefault="00E00BC2" w:rsidP="00E00BC2">
      <w:pPr>
        <w:pStyle w:val="NormalWeb"/>
        <w:spacing w:before="0" w:beforeAutospacing="0" w:after="0" w:afterAutospacing="0"/>
        <w:jc w:val="both"/>
      </w:pPr>
    </w:p>
    <w:p w14:paraId="541A9D70" w14:textId="77777777" w:rsidR="00E00BC2" w:rsidRPr="00E00BC2" w:rsidRDefault="00E00BC2" w:rsidP="00E00BC2">
      <w:pPr>
        <w:pStyle w:val="NormalWeb"/>
        <w:spacing w:before="0" w:beforeAutospacing="0" w:after="0" w:afterAutospacing="0"/>
        <w:jc w:val="both"/>
        <w:rPr>
          <w:color w:val="000000"/>
        </w:rPr>
      </w:pPr>
      <w:r w:rsidRPr="00E00BC2">
        <w:rPr>
          <w:color w:val="000000"/>
        </w:rPr>
        <w:t>The proposed Insolvency Law was designed to fully transpose Directive (EU) 2019/1023</w:t>
      </w:r>
      <w:r w:rsidRPr="00E00BC2">
        <w:rPr>
          <w:rStyle w:val="FootnoteReference"/>
          <w:color w:val="000000"/>
        </w:rPr>
        <w:footnoteReference w:id="8"/>
      </w:r>
      <w:r w:rsidRPr="00E00BC2">
        <w:rPr>
          <w:color w:val="000000"/>
        </w:rPr>
        <w:t xml:space="preserve"> and to replace the existing framework for out-of-court settlements, which would be repealed upon its adoption. A central feature of the draft law is the promotion of early intervention mechanisms, allowing financially distressed companies to retain management control and continue operations while pursuing restructuring solutions. In formal bankruptcy proceedings, reorganization remains possible but may be initiated only upon the proposal of a bankruptcy trustee or a creditor, with the objective of achieving higher creditor recovery rates than those attainable through liquidation.</w:t>
      </w:r>
    </w:p>
    <w:p w14:paraId="1C16A9A8" w14:textId="77777777" w:rsidR="00E00BC2" w:rsidRPr="00E00BC2" w:rsidRDefault="00E00BC2" w:rsidP="00E00BC2">
      <w:pPr>
        <w:pStyle w:val="NormalWeb"/>
        <w:spacing w:before="0" w:beforeAutospacing="0" w:after="0" w:afterAutospacing="0"/>
        <w:jc w:val="both"/>
        <w:rPr>
          <w:color w:val="000000"/>
        </w:rPr>
      </w:pPr>
    </w:p>
    <w:p w14:paraId="2C774EF3" w14:textId="77777777" w:rsidR="00E00BC2" w:rsidRPr="00E00BC2" w:rsidRDefault="00E00BC2" w:rsidP="00E00BC2">
      <w:pPr>
        <w:pStyle w:val="NormalWeb"/>
        <w:spacing w:before="0" w:beforeAutospacing="0" w:after="0" w:afterAutospacing="0"/>
        <w:jc w:val="both"/>
        <w:rPr>
          <w:color w:val="000000"/>
        </w:rPr>
      </w:pPr>
      <w:r w:rsidRPr="00E00BC2">
        <w:rPr>
          <w:color w:val="000000"/>
        </w:rPr>
        <w:t xml:space="preserve">Beyond formal harmonization with EU law, the draft Insolvency Law reflects broader economic policy objectives, including the facilitation of corporate restructuring, enhanced creditor–debtor negotiations, and the mitigation of adverse macroeconomic effects such as unemployment. The law also seeks to reshape investor perceptions by framing insolvency as a recovery-oriented </w:t>
      </w:r>
      <w:r w:rsidRPr="00E00BC2">
        <w:rPr>
          <w:color w:val="000000"/>
        </w:rPr>
        <w:lastRenderedPageBreak/>
        <w:t>mechanism rather than solely a liquidation process. Nevertheless, at the time of writing, the law remains in draft form and has not yet entered into force.</w:t>
      </w:r>
    </w:p>
    <w:p w14:paraId="781C8D9A" w14:textId="77777777" w:rsidR="00E00BC2" w:rsidRPr="00E00BC2" w:rsidRDefault="00E00BC2" w:rsidP="00E00BC2">
      <w:pPr>
        <w:pStyle w:val="NormalWeb"/>
        <w:spacing w:before="0" w:beforeAutospacing="0" w:after="0" w:afterAutospacing="0"/>
        <w:jc w:val="both"/>
        <w:rPr>
          <w:color w:val="000000"/>
        </w:rPr>
      </w:pPr>
    </w:p>
    <w:p w14:paraId="7A71382A" w14:textId="77777777" w:rsidR="00E00BC2" w:rsidRPr="00E00BC2" w:rsidRDefault="00E00BC2" w:rsidP="00E00BC2">
      <w:pPr>
        <w:pStyle w:val="NormalWeb"/>
        <w:spacing w:before="0" w:beforeAutospacing="0" w:after="0" w:afterAutospacing="0"/>
        <w:jc w:val="both"/>
        <w:rPr>
          <w:i/>
          <w:iCs/>
          <w:color w:val="000000"/>
        </w:rPr>
      </w:pPr>
      <w:r w:rsidRPr="00E00BC2">
        <w:rPr>
          <w:i/>
          <w:iCs/>
          <w:color w:val="000000"/>
        </w:rPr>
        <w:t>What is happening?</w:t>
      </w:r>
    </w:p>
    <w:p w14:paraId="6484A0C3" w14:textId="77777777" w:rsidR="00E00BC2" w:rsidRPr="00E00BC2" w:rsidRDefault="00E00BC2" w:rsidP="00E00BC2">
      <w:pPr>
        <w:pStyle w:val="NormalWeb"/>
        <w:spacing w:before="0" w:beforeAutospacing="0" w:after="0" w:afterAutospacing="0"/>
        <w:jc w:val="both"/>
        <w:rPr>
          <w:color w:val="000000"/>
        </w:rPr>
      </w:pPr>
    </w:p>
    <w:p w14:paraId="4F183C45" w14:textId="77777777" w:rsidR="00E00BC2" w:rsidRPr="00E00BC2" w:rsidRDefault="00E00BC2" w:rsidP="00E00BC2">
      <w:pPr>
        <w:pStyle w:val="NormalWeb"/>
        <w:spacing w:before="0" w:beforeAutospacing="0" w:after="0" w:afterAutospacing="0"/>
        <w:jc w:val="both"/>
        <w:rPr>
          <w:color w:val="000000"/>
        </w:rPr>
      </w:pPr>
      <w:r w:rsidRPr="00E00BC2">
        <w:rPr>
          <w:color w:val="000000"/>
        </w:rPr>
        <w:t>In 2024, in the course of research on the persistent absence of consumer insolvency frameworks in the Western Balkan countries, I conducted a series of semi-structured interviews with officials from the Ministry of Economy of North Macedonia and with licensed bankruptcy trustees. Among other issues, the interviews addressed the prolonged non-enactment of the new Insolvency Law. When respondents were asked why the law—despite being technically finalized—had remained unenacted for more than three years, representatives of the Ministry of Economy provided the following explanation:</w:t>
      </w:r>
    </w:p>
    <w:p w14:paraId="6FCCFE54" w14:textId="77777777" w:rsidR="00E00BC2" w:rsidRPr="00E00BC2" w:rsidRDefault="00E00BC2" w:rsidP="00E00BC2">
      <w:pPr>
        <w:pStyle w:val="NormalWeb"/>
        <w:spacing w:before="0" w:beforeAutospacing="0" w:after="0" w:afterAutospacing="0"/>
        <w:jc w:val="both"/>
        <w:rPr>
          <w:color w:val="000000"/>
        </w:rPr>
      </w:pPr>
    </w:p>
    <w:p w14:paraId="2645BF7F" w14:textId="77777777" w:rsidR="00E00BC2" w:rsidRPr="00E00BC2" w:rsidRDefault="00E00BC2" w:rsidP="00E00BC2">
      <w:pPr>
        <w:pStyle w:val="NormalWeb"/>
        <w:spacing w:before="0" w:beforeAutospacing="0" w:after="0" w:afterAutospacing="0"/>
        <w:ind w:left="720"/>
        <w:jc w:val="both"/>
        <w:rPr>
          <w:color w:val="000000"/>
        </w:rPr>
      </w:pPr>
      <w:r w:rsidRPr="00E00BC2">
        <w:rPr>
          <w:color w:val="000000"/>
        </w:rPr>
        <w:t>“The draft law successfully passed the Government procedure in February 2023 and was expected to be submitted to Parliament. However, the process was subsequently halted because the responsible minister did not sign the accompanying statement required for parliamentary submission. This delay was primarily triggered by an objection raised by the Public Revenue Office (PRO) at the final stage of the legislative process, following a five-year drafting and consultation period.”</w:t>
      </w:r>
    </w:p>
    <w:p w14:paraId="5CD04307" w14:textId="77777777" w:rsidR="00E00BC2" w:rsidRPr="00E00BC2" w:rsidRDefault="00E00BC2" w:rsidP="00E00BC2">
      <w:pPr>
        <w:pStyle w:val="NormalWeb"/>
        <w:spacing w:before="0" w:beforeAutospacing="0" w:after="0" w:afterAutospacing="0"/>
        <w:jc w:val="both"/>
        <w:rPr>
          <w:color w:val="000000"/>
        </w:rPr>
      </w:pPr>
    </w:p>
    <w:p w14:paraId="3CA83FDB" w14:textId="77777777" w:rsidR="00E00BC2" w:rsidRPr="00E00BC2" w:rsidRDefault="00E00BC2" w:rsidP="00E00BC2">
      <w:pPr>
        <w:pStyle w:val="NormalWeb"/>
        <w:spacing w:before="0" w:beforeAutospacing="0" w:after="0" w:afterAutospacing="0"/>
        <w:jc w:val="both"/>
        <w:rPr>
          <w:color w:val="000000"/>
        </w:rPr>
      </w:pPr>
      <w:r w:rsidRPr="00E00BC2">
        <w:rPr>
          <w:color w:val="000000"/>
        </w:rPr>
        <w:t>According to the respondents, the PRO objected to the draft law on the grounds that it did not grant the tax authority priority creditor status in bankruptcy proceedings. This demand emerged only after the Government had already approved the draft, notwithstanding the fact that the PRO had not participated in the working group responsible for drafting the law over a five-year period. The working group included representatives from the Ministry of Finance, chambers of commerce, the judiciary, and other relevant stakeholders. From a formal legal perspective, the draft law had been duly submitted to the Ministry of Finance, under whose institutional jurisdiction the PRO operates. Nevertheless, the PRO exercised decisive influence over the process, effectively blocking the law’s progression to Parliament. The former minister reportedly insisted that the law would not advance unless it was amended to accommodate the PRO’s demands, despite the fact that such amendments would fundamentally contradict the law’s objectives and underlying design.</w:t>
      </w:r>
    </w:p>
    <w:p w14:paraId="1DA68602" w14:textId="77777777" w:rsidR="00E00BC2" w:rsidRPr="00E00BC2" w:rsidRDefault="00E00BC2" w:rsidP="00E00BC2">
      <w:pPr>
        <w:pStyle w:val="NormalWeb"/>
        <w:spacing w:before="0" w:beforeAutospacing="0" w:after="0" w:afterAutospacing="0"/>
        <w:jc w:val="both"/>
        <w:rPr>
          <w:color w:val="000000"/>
        </w:rPr>
      </w:pPr>
    </w:p>
    <w:p w14:paraId="186FBF37" w14:textId="77777777" w:rsidR="00E00BC2" w:rsidRPr="00E00BC2" w:rsidRDefault="00E00BC2" w:rsidP="00E00BC2">
      <w:pPr>
        <w:pStyle w:val="NormalWeb"/>
        <w:spacing w:before="0" w:beforeAutospacing="0" w:after="0" w:afterAutospacing="0"/>
        <w:jc w:val="both"/>
        <w:rPr>
          <w:color w:val="000000"/>
        </w:rPr>
      </w:pPr>
      <w:r w:rsidRPr="00E00BC2">
        <w:rPr>
          <w:color w:val="000000"/>
        </w:rPr>
        <w:t>The interviewees emphasized that the working group—comprising ministries, business associations, and judicial representatives—did not support the PRO’s position. When requested to provide comparative examples of jurisdictions in which tax authorities enjoy priority creditor status in bankruptcy proceedings, the PRO reportedly failed to offer convincing justification, instead invoking the general need to safeguard budgetary revenues. As noted during the discussions, however, structural budgetary shortfalls cannot be remedied through preferential treatment of claims against insolvent debtors. A substantial number of economically active companies with long-standing tax arrears—some dating back to 2008—remain operational and solvent. From an efficiency perspective, prioritizing enforcement against such entities would likely yield significantly higher fiscal returns than attempting to extract value from insolvent companies. Consequently, the impasse surrounding the Insolvency Law appears to reflect deeper institutional and governance-related deficiencies rather than substantive weaknesses in the legislative text itself. Despite broad stakeholder support, the PRO’s position has constituted a critical barrier, with respondents acknowledging limited institutional capacity to effectively counter its influence.</w:t>
      </w:r>
    </w:p>
    <w:p w14:paraId="12075535" w14:textId="77777777" w:rsidR="00E00BC2" w:rsidRPr="00E00BC2" w:rsidRDefault="00E00BC2" w:rsidP="00E00BC2">
      <w:pPr>
        <w:pStyle w:val="NormalWeb"/>
        <w:spacing w:before="0" w:beforeAutospacing="0" w:after="0" w:afterAutospacing="0"/>
        <w:jc w:val="both"/>
        <w:rPr>
          <w:color w:val="000000"/>
        </w:rPr>
      </w:pPr>
    </w:p>
    <w:p w14:paraId="3E5C9CE2" w14:textId="77777777" w:rsidR="00E00BC2" w:rsidRPr="00E00BC2" w:rsidRDefault="00E00BC2" w:rsidP="00E00BC2">
      <w:pPr>
        <w:pStyle w:val="NormalWeb"/>
        <w:spacing w:before="0" w:beforeAutospacing="0" w:after="0" w:afterAutospacing="0"/>
        <w:jc w:val="both"/>
        <w:rPr>
          <w:color w:val="000000"/>
        </w:rPr>
      </w:pPr>
      <w:r w:rsidRPr="00E00BC2">
        <w:rPr>
          <w:color w:val="000000"/>
        </w:rPr>
        <w:lastRenderedPageBreak/>
        <w:t>Importantly, this is not the first instance in which insolvency reform in North Macedonia has been obstructed by disputes over creditor prioritization involving public authorities. A comparable development occurred two decades earlier through the amendments to the Bankruptcy Law published in the Official Gazette of the Republic of Macedonia No. 17/2004. These amendments introduced detailed rules governing the sale of assets in bankruptcy proceedings and, more significantly, established the category of priority bankruptcy creditors, granting preferential status to the Pension and Disability Insurance Fund.</w:t>
      </w:r>
    </w:p>
    <w:p w14:paraId="01FB60A6" w14:textId="77777777" w:rsidR="00E00BC2" w:rsidRPr="00E00BC2" w:rsidRDefault="00E00BC2" w:rsidP="00E00BC2">
      <w:pPr>
        <w:pStyle w:val="NormalWeb"/>
        <w:spacing w:before="0" w:beforeAutospacing="0" w:after="0" w:afterAutospacing="0"/>
        <w:jc w:val="both"/>
        <w:rPr>
          <w:color w:val="000000"/>
        </w:rPr>
      </w:pPr>
    </w:p>
    <w:p w14:paraId="23B76BEA" w14:textId="77777777" w:rsidR="00E00BC2" w:rsidRPr="00E00BC2" w:rsidRDefault="00E00BC2" w:rsidP="00E00BC2">
      <w:pPr>
        <w:pStyle w:val="NormalWeb"/>
        <w:spacing w:before="0" w:beforeAutospacing="0" w:after="0" w:afterAutospacing="0"/>
        <w:jc w:val="both"/>
        <w:rPr>
          <w:color w:val="000000"/>
        </w:rPr>
      </w:pPr>
      <w:r w:rsidRPr="00E00BC2">
        <w:rPr>
          <w:color w:val="000000"/>
        </w:rPr>
        <w:t>In practice, the overwhelming majority of bankrupt debtors had outstanding obligations toward the Pension and Disability Insurance Fund. As a result, liquidation proceeds were primarily allocated to the settlement of unpaid social contributions and to covering the administrative costs of bankruptcy proceedings. This prioritization effectively eliminated any realistic prospect of recovery for other creditors. The amendments further reintroduced the Public Revenue Office into the procedural framework by assigning it an oversight role in the initiation phase of bankruptcy proceedings. Courts were required to forward all bankruptcy petitions to the PRO within three days, while the PRO was granted a 30-day period to submit a report on the debtor’s financial status. During this period, procedural activity was suspended, leading to systematic delays in the commencement of proceedings.</w:t>
      </w:r>
    </w:p>
    <w:p w14:paraId="4EB3BEE9" w14:textId="77777777" w:rsidR="00E00BC2" w:rsidRPr="00E00BC2" w:rsidRDefault="00E00BC2" w:rsidP="00E00BC2">
      <w:pPr>
        <w:pStyle w:val="NormalWeb"/>
        <w:spacing w:before="0" w:beforeAutospacing="0" w:after="0" w:afterAutospacing="0"/>
        <w:jc w:val="both"/>
        <w:rPr>
          <w:color w:val="000000"/>
        </w:rPr>
      </w:pPr>
    </w:p>
    <w:p w14:paraId="60AFC563" w14:textId="77777777" w:rsidR="00E00BC2" w:rsidRPr="00E00BC2" w:rsidRDefault="00E00BC2" w:rsidP="00E00BC2">
      <w:pPr>
        <w:pStyle w:val="NormalWeb"/>
        <w:spacing w:before="0" w:beforeAutospacing="0" w:after="0" w:afterAutospacing="0"/>
        <w:jc w:val="both"/>
        <w:rPr>
          <w:color w:val="000000"/>
        </w:rPr>
      </w:pPr>
      <w:r w:rsidRPr="00E00BC2">
        <w:rPr>
          <w:color w:val="000000"/>
        </w:rPr>
        <w:t>Moreover, the prioritization of pension and social insurance contributions—accrued up to the opening of bankruptcy proceedings—meant that liquidation estates were frequently exhausted before any distribution to non-priority creditors could occur, even when contributions were calculated at the minimum statutory level. This reality significantly discouraged creditor participation. Recognizing the low probability of recovery, non-priority creditors were often disincentivized from engaging in creditors’ committees or appointing representatives to bankruptcy bodies. The resulting lack of creditor engagement further undermined decision-making processes and contributed to protracted and inefficient proceedings.</w:t>
      </w:r>
    </w:p>
    <w:p w14:paraId="52345183" w14:textId="77777777" w:rsidR="00E00BC2" w:rsidRPr="00E00BC2" w:rsidRDefault="00E00BC2" w:rsidP="00E00BC2">
      <w:pPr>
        <w:pStyle w:val="NormalWeb"/>
        <w:spacing w:before="0" w:beforeAutospacing="0" w:after="0" w:afterAutospacing="0"/>
        <w:jc w:val="both"/>
        <w:rPr>
          <w:color w:val="000000"/>
        </w:rPr>
      </w:pPr>
    </w:p>
    <w:p w14:paraId="3C27F3AB" w14:textId="77777777" w:rsidR="00E00BC2" w:rsidRPr="00E00BC2" w:rsidRDefault="00E00BC2" w:rsidP="00E00BC2">
      <w:pPr>
        <w:pStyle w:val="NormalWeb"/>
        <w:spacing w:before="0" w:beforeAutospacing="0" w:after="0" w:afterAutospacing="0"/>
        <w:jc w:val="both"/>
        <w:rPr>
          <w:color w:val="000000"/>
        </w:rPr>
      </w:pPr>
      <w:r w:rsidRPr="00E00BC2">
        <w:rPr>
          <w:color w:val="000000"/>
        </w:rPr>
        <w:t>Beyond institutional and legal design failures, respondents also identified bankruptcy stigma as a structural impediment rooted in broader socio-cultural factors. As articulated by representatives of the Ministry of Economy:</w:t>
      </w:r>
    </w:p>
    <w:p w14:paraId="63BBC23B" w14:textId="77777777" w:rsidR="00E00BC2" w:rsidRPr="00E00BC2" w:rsidRDefault="00E00BC2" w:rsidP="00E00BC2">
      <w:pPr>
        <w:pStyle w:val="NormalWeb"/>
        <w:spacing w:before="0" w:beforeAutospacing="0" w:after="0" w:afterAutospacing="0"/>
        <w:jc w:val="both"/>
        <w:rPr>
          <w:color w:val="000000"/>
        </w:rPr>
      </w:pPr>
    </w:p>
    <w:p w14:paraId="35174CD7" w14:textId="77777777" w:rsidR="00E00BC2" w:rsidRPr="00E00BC2" w:rsidRDefault="00E00BC2" w:rsidP="00E00BC2">
      <w:pPr>
        <w:pStyle w:val="NormalWeb"/>
        <w:spacing w:before="0" w:beforeAutospacing="0" w:after="0" w:afterAutospacing="0"/>
        <w:ind w:left="720"/>
        <w:jc w:val="both"/>
        <w:rPr>
          <w:color w:val="000000"/>
        </w:rPr>
      </w:pPr>
      <w:r w:rsidRPr="00E00BC2">
        <w:rPr>
          <w:color w:val="000000"/>
        </w:rPr>
        <w:t>“The approach to resolving debt through bankruptcy remains deeply problematic, as the concept itself is socially stigmatized. Bankruptcy is not yet perceived as a standard legal and economic mechanism but rather as a personal and moral failure. Although company managers are legally obliged under the Corporate Law—and partially under the Bankruptcy Law—to initiate insolvency proceedings when insolvency risk arises, many avoid doing so due to fear of social condemnation.”</w:t>
      </w:r>
    </w:p>
    <w:p w14:paraId="59EBB42A" w14:textId="77777777" w:rsidR="00E00BC2" w:rsidRPr="00E00BC2" w:rsidRDefault="00E00BC2" w:rsidP="00E00BC2">
      <w:pPr>
        <w:pStyle w:val="NormalWeb"/>
        <w:spacing w:before="0" w:beforeAutospacing="0" w:after="0" w:afterAutospacing="0"/>
        <w:jc w:val="both"/>
        <w:rPr>
          <w:color w:val="000000"/>
        </w:rPr>
      </w:pPr>
    </w:p>
    <w:p w14:paraId="426B83DA" w14:textId="38A41C81" w:rsidR="00E00BC2" w:rsidRDefault="00E00BC2" w:rsidP="00E00BC2">
      <w:pPr>
        <w:pStyle w:val="NormalWeb"/>
        <w:spacing w:before="0" w:beforeAutospacing="0" w:after="0" w:afterAutospacing="0"/>
        <w:jc w:val="both"/>
        <w:rPr>
          <w:color w:val="000000"/>
        </w:rPr>
      </w:pPr>
      <w:r w:rsidRPr="00E00BC2">
        <w:rPr>
          <w:color w:val="000000"/>
        </w:rPr>
        <w:t>This stigma, respondents noted, reflects a broader psychological resistance to acknowledging financial failure. Bankruptcy is frequently perceived as the ‘financial death’ of a company, accompanied by severe reputational harm, public exposure, and personal humiliation. Such perceptions foster avoidance behavior, leading managers to delay action until liabilities significantly exceed assets, at which point restructuring is no longer viable. This postponement persists even when insolvency is caused by external factors, such as the failure of business partners.</w:t>
      </w:r>
    </w:p>
    <w:p w14:paraId="0AE66605" w14:textId="77777777" w:rsidR="00E00BC2" w:rsidRPr="00E00BC2" w:rsidRDefault="00E00BC2" w:rsidP="00E00BC2">
      <w:pPr>
        <w:pStyle w:val="NormalWeb"/>
        <w:spacing w:before="0" w:beforeAutospacing="0" w:after="0" w:afterAutospacing="0"/>
        <w:jc w:val="both"/>
        <w:rPr>
          <w:color w:val="000000"/>
        </w:rPr>
      </w:pPr>
    </w:p>
    <w:p w14:paraId="31AE1ECF" w14:textId="77777777" w:rsidR="00E00BC2" w:rsidRPr="00E00BC2" w:rsidRDefault="00E00BC2" w:rsidP="00E00BC2">
      <w:pPr>
        <w:pStyle w:val="NormalWeb"/>
        <w:spacing w:before="0" w:beforeAutospacing="0" w:after="0" w:afterAutospacing="0"/>
        <w:jc w:val="both"/>
        <w:rPr>
          <w:color w:val="000000"/>
        </w:rPr>
      </w:pPr>
      <w:r w:rsidRPr="00E00BC2">
        <w:rPr>
          <w:color w:val="000000"/>
        </w:rPr>
        <w:t xml:space="preserve">The respondents emphasized that overcoming these challenges requires a fundamental shift in societal attitudes toward insolvency, coupled with stronger managerial accountability and awareness of restructuring mechanisms. A functional insolvency system should encourage early </w:t>
      </w:r>
      <w:r w:rsidRPr="00E00BC2">
        <w:rPr>
          <w:color w:val="000000"/>
        </w:rPr>
        <w:lastRenderedPageBreak/>
        <w:t>intervention, promote business continuity, protect employment, and facilitate recovery rather than equating insolvency with irreversible failure.</w:t>
      </w:r>
    </w:p>
    <w:p w14:paraId="7FE0B227" w14:textId="77777777" w:rsidR="00E00BC2" w:rsidRPr="00E00BC2" w:rsidRDefault="00E00BC2" w:rsidP="00E00BC2">
      <w:pPr>
        <w:pStyle w:val="NormalWeb"/>
        <w:spacing w:before="0" w:beforeAutospacing="0" w:after="0" w:afterAutospacing="0"/>
        <w:jc w:val="both"/>
        <w:rPr>
          <w:i/>
          <w:iCs/>
          <w:color w:val="000000"/>
        </w:rPr>
      </w:pPr>
    </w:p>
    <w:p w14:paraId="6A1F82E4" w14:textId="77777777" w:rsidR="00E00BC2" w:rsidRPr="00E00BC2" w:rsidRDefault="00E00BC2" w:rsidP="00E00BC2">
      <w:pPr>
        <w:pStyle w:val="NormalWeb"/>
        <w:spacing w:before="0" w:beforeAutospacing="0" w:after="0" w:afterAutospacing="0"/>
        <w:jc w:val="both"/>
        <w:rPr>
          <w:i/>
          <w:iCs/>
          <w:color w:val="000000"/>
        </w:rPr>
      </w:pPr>
      <w:r w:rsidRPr="00E00BC2">
        <w:rPr>
          <w:i/>
          <w:iCs/>
          <w:color w:val="000000"/>
        </w:rPr>
        <w:t>Conclusion</w:t>
      </w:r>
    </w:p>
    <w:p w14:paraId="55ED676D" w14:textId="77777777" w:rsidR="00E00BC2" w:rsidRPr="00E00BC2" w:rsidRDefault="00E00BC2" w:rsidP="00E00BC2">
      <w:pPr>
        <w:pStyle w:val="NormalWeb"/>
        <w:spacing w:before="0" w:beforeAutospacing="0" w:after="0" w:afterAutospacing="0"/>
        <w:jc w:val="both"/>
        <w:rPr>
          <w:color w:val="000000"/>
        </w:rPr>
      </w:pPr>
    </w:p>
    <w:p w14:paraId="0FA5B171" w14:textId="77777777" w:rsidR="00E00BC2" w:rsidRPr="00E00BC2" w:rsidRDefault="00E00BC2" w:rsidP="00E00BC2">
      <w:pPr>
        <w:pStyle w:val="NormalWeb"/>
        <w:spacing w:before="0" w:beforeAutospacing="0" w:after="0" w:afterAutospacing="0"/>
        <w:jc w:val="both"/>
        <w:rPr>
          <w:color w:val="000000"/>
        </w:rPr>
      </w:pPr>
      <w:r w:rsidRPr="00E00BC2">
        <w:rPr>
          <w:color w:val="000000"/>
        </w:rPr>
        <w:t xml:space="preserve">The new insolvency law in North Macedonia is not so new anymore. Five years have passed since the law was completed, and yet is still not enacted. The development of insolvency frameworks in North Macedonia exemplifies the broader structural challenges associated with the post-socialist transition from a centrally planned to a market-oriented economy in the Western Balkans. While substantial formal progress has been achieved—particularly through the transposition of European Union legislation and the formal alignment of domestic legislation with the </w:t>
      </w:r>
      <w:r w:rsidRPr="00E00BC2">
        <w:rPr>
          <w:i/>
          <w:iCs/>
          <w:color w:val="000000"/>
        </w:rPr>
        <w:t>acquis communautaire</w:t>
      </w:r>
      <w:r w:rsidRPr="00E00BC2">
        <w:rPr>
          <w:color w:val="000000"/>
        </w:rPr>
        <w:t xml:space="preserve">—these reforms have frequently remained detached from institutional realities. </w:t>
      </w:r>
    </w:p>
    <w:p w14:paraId="629504A8" w14:textId="77777777" w:rsidR="00E00BC2" w:rsidRPr="00E00BC2" w:rsidRDefault="00E00BC2" w:rsidP="00E00BC2">
      <w:pPr>
        <w:pStyle w:val="NormalWeb"/>
        <w:spacing w:before="0" w:beforeAutospacing="0" w:after="0" w:afterAutospacing="0"/>
        <w:jc w:val="both"/>
        <w:rPr>
          <w:color w:val="000000"/>
        </w:rPr>
      </w:pPr>
    </w:p>
    <w:p w14:paraId="09E07B40" w14:textId="77777777" w:rsidR="00E00BC2" w:rsidRPr="00E00BC2" w:rsidRDefault="00E00BC2" w:rsidP="00E00BC2">
      <w:pPr>
        <w:pStyle w:val="NormalWeb"/>
        <w:spacing w:before="0" w:beforeAutospacing="0" w:after="0" w:afterAutospacing="0"/>
        <w:jc w:val="both"/>
        <w:rPr>
          <w:color w:val="000000"/>
        </w:rPr>
      </w:pPr>
      <w:r w:rsidRPr="00E00BC2">
        <w:rPr>
          <w:color w:val="000000"/>
        </w:rPr>
        <w:t>Despite the introduction of modern insolvency concepts, including reorganization and restructuring mechanisms modeled on European standards, the operational effectiveness of the system remains limited. The prolonged non-enactment of the 2021 Insolvency Law illustrates the fragility of transplantation-driven reforms, revealing how formally compliant legislative solutions can be neutralized by administrative resistance, fragmented governance, and competing bureaucratic interests. Rather than facilitating systemic change, the transplantation process has, in this case, produced a normative framework that is formally sophisticated yet institutionally unsupported.</w:t>
      </w:r>
    </w:p>
    <w:p w14:paraId="03E4EE0A" w14:textId="77777777" w:rsidR="00E00BC2" w:rsidRPr="00E00BC2" w:rsidRDefault="00E00BC2" w:rsidP="00E00BC2">
      <w:pPr>
        <w:pStyle w:val="NormalWeb"/>
        <w:spacing w:before="0" w:beforeAutospacing="0" w:after="0" w:afterAutospacing="0"/>
        <w:jc w:val="both"/>
        <w:rPr>
          <w:color w:val="000000"/>
        </w:rPr>
      </w:pPr>
    </w:p>
    <w:p w14:paraId="5A1B905A" w14:textId="43E48989" w:rsidR="00437A17" w:rsidRPr="00E00BC2" w:rsidRDefault="00E00BC2" w:rsidP="00E00BC2">
      <w:pPr>
        <w:pStyle w:val="NormalWeb"/>
        <w:spacing w:before="0" w:beforeAutospacing="0" w:after="0" w:afterAutospacing="0"/>
        <w:jc w:val="both"/>
        <w:rPr>
          <w:color w:val="000000"/>
        </w:rPr>
      </w:pPr>
      <w:r w:rsidRPr="00E00BC2">
        <w:rPr>
          <w:color w:val="000000"/>
        </w:rPr>
        <w:t>For insolvency reforms to yield tangible outcomes, North Macedonia must move beyond a transplantation-oriented approach focused on formal compliance and address the structural conditions necessary for implementation. This includes strengthening judicial and administrative specialization, ensuring procedural efficiency and transparency, and aligning institutional incentives with the objectives of insolvency law. The Macedonian experience demonstrates that repeated legislative amendments, in the absence of corresponding institutional capacity and normative acceptance, are insufficient to produce meaningful reform and may instead entrench a gap between law on the books and law in action.</w:t>
      </w:r>
    </w:p>
    <w:sectPr w:rsidR="00437A17" w:rsidRPr="00E00BC2"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E1F76" w14:textId="77777777" w:rsidR="00D254C1" w:rsidRDefault="00D254C1">
      <w:r>
        <w:separator/>
      </w:r>
    </w:p>
  </w:endnote>
  <w:endnote w:type="continuationSeparator" w:id="0">
    <w:p w14:paraId="2644195B" w14:textId="77777777" w:rsidR="00D254C1" w:rsidRDefault="00D2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B2D72" w14:textId="77777777" w:rsidR="004F25BE" w:rsidRPr="001C5080" w:rsidRDefault="004F25B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D9F60" w14:textId="77777777" w:rsidR="00D254C1" w:rsidRDefault="00D254C1">
      <w:r>
        <w:separator/>
      </w:r>
    </w:p>
  </w:footnote>
  <w:footnote w:type="continuationSeparator" w:id="0">
    <w:p w14:paraId="25F82BB4" w14:textId="77777777" w:rsidR="00D254C1" w:rsidRDefault="00D254C1">
      <w:r>
        <w:continuationSeparator/>
      </w:r>
    </w:p>
  </w:footnote>
  <w:footnote w:id="1">
    <w:p w14:paraId="68FAD37C" w14:textId="77777777" w:rsidR="00E00BC2" w:rsidRPr="00E00BC2" w:rsidRDefault="00E00BC2" w:rsidP="00E00BC2">
      <w:pPr>
        <w:pStyle w:val="FootnoteText"/>
        <w:rPr>
          <w:rFonts w:ascii="Times New Roman" w:hAnsi="Times New Roman"/>
        </w:rPr>
      </w:pPr>
      <w:r w:rsidRPr="00E00BC2">
        <w:rPr>
          <w:rStyle w:val="FootnoteReference"/>
          <w:rFonts w:ascii="Times New Roman" w:hAnsi="Times New Roman"/>
        </w:rPr>
        <w:footnoteRef/>
      </w:r>
      <w:r w:rsidRPr="00E00BC2">
        <w:rPr>
          <w:rFonts w:ascii="Times New Roman" w:hAnsi="Times New Roman"/>
        </w:rPr>
        <w:t xml:space="preserve"> Law on Compulsory Settlement, Bankruptcy, and Liquidation, Official Gazette of SFRJ No. 84/89.</w:t>
      </w:r>
    </w:p>
  </w:footnote>
  <w:footnote w:id="2">
    <w:p w14:paraId="799034FA" w14:textId="77777777" w:rsidR="00E00BC2" w:rsidRPr="00E00BC2" w:rsidRDefault="00E00BC2" w:rsidP="00E00BC2">
      <w:pPr>
        <w:pStyle w:val="FootnoteText"/>
        <w:rPr>
          <w:rFonts w:ascii="Times New Roman" w:hAnsi="Times New Roman"/>
        </w:rPr>
      </w:pPr>
      <w:r w:rsidRPr="00E00BC2">
        <w:rPr>
          <w:rStyle w:val="FootnoteReference"/>
          <w:rFonts w:ascii="Times New Roman" w:hAnsi="Times New Roman"/>
        </w:rPr>
        <w:footnoteRef/>
      </w:r>
      <w:r w:rsidRPr="00E00BC2">
        <w:rPr>
          <w:rFonts w:ascii="Times New Roman" w:hAnsi="Times New Roman"/>
        </w:rPr>
        <w:t xml:space="preserve"> Official Gazette of the Republic of Macedonia No. 55/97, published on 29.10.1997. Entered into force on 06.11.1997.</w:t>
      </w:r>
    </w:p>
  </w:footnote>
  <w:footnote w:id="3">
    <w:p w14:paraId="2C4D6178" w14:textId="77777777" w:rsidR="00E00BC2" w:rsidRPr="00E00BC2" w:rsidRDefault="00E00BC2" w:rsidP="00E00BC2">
      <w:pPr>
        <w:pStyle w:val="FootnoteText"/>
        <w:rPr>
          <w:rFonts w:ascii="Times New Roman" w:hAnsi="Times New Roman"/>
        </w:rPr>
      </w:pPr>
      <w:r w:rsidRPr="00E00BC2">
        <w:rPr>
          <w:rStyle w:val="FootnoteReference"/>
          <w:rFonts w:ascii="Times New Roman" w:hAnsi="Times New Roman"/>
        </w:rPr>
        <w:footnoteRef/>
      </w:r>
      <w:r w:rsidRPr="00E00BC2">
        <w:rPr>
          <w:rFonts w:ascii="Times New Roman" w:hAnsi="Times New Roman"/>
        </w:rPr>
        <w:t xml:space="preserve"> Law on Amendments and Supplements to the Bankruptcy Law, Official Gazette of the Republic of Macedonia, No. 53 of 07.07.2000; Law on Amendments and Supplements to the Bankruptcy Law, Official Gazette of the Republic of Macedonia No. 37/02; Law on Amendments and Supplements to the Bankruptcy Law, Official Gazette of the Republic of Macedonia No. 17/04.</w:t>
      </w:r>
    </w:p>
  </w:footnote>
  <w:footnote w:id="4">
    <w:p w14:paraId="2FA0FBCE" w14:textId="77777777" w:rsidR="00E00BC2" w:rsidRPr="00E00BC2" w:rsidRDefault="00E00BC2" w:rsidP="00E00BC2">
      <w:pPr>
        <w:pStyle w:val="FootnoteText"/>
        <w:rPr>
          <w:rFonts w:ascii="Times New Roman" w:hAnsi="Times New Roman"/>
        </w:rPr>
      </w:pPr>
      <w:r w:rsidRPr="00E00BC2">
        <w:rPr>
          <w:rStyle w:val="FootnoteReference"/>
          <w:rFonts w:ascii="Times New Roman" w:hAnsi="Times New Roman"/>
        </w:rPr>
        <w:footnoteRef/>
      </w:r>
      <w:r w:rsidRPr="00E00BC2">
        <w:rPr>
          <w:rFonts w:ascii="Times New Roman" w:hAnsi="Times New Roman"/>
        </w:rPr>
        <w:t xml:space="preserve"> Official Gazette of the Republic of Macedonia No. 34 / 06</w:t>
      </w:r>
    </w:p>
  </w:footnote>
  <w:footnote w:id="5">
    <w:p w14:paraId="4DE8E50D" w14:textId="77777777" w:rsidR="00E00BC2" w:rsidRPr="00E00BC2" w:rsidRDefault="00E00BC2" w:rsidP="00E00BC2">
      <w:pPr>
        <w:pStyle w:val="FootnoteText"/>
        <w:rPr>
          <w:rFonts w:ascii="Times New Roman" w:hAnsi="Times New Roman"/>
        </w:rPr>
      </w:pPr>
      <w:r w:rsidRPr="00E00BC2">
        <w:rPr>
          <w:rStyle w:val="FootnoteReference"/>
          <w:rFonts w:ascii="Times New Roman" w:hAnsi="Times New Roman"/>
        </w:rPr>
        <w:footnoteRef/>
      </w:r>
      <w:r w:rsidRPr="00E00BC2">
        <w:rPr>
          <w:rFonts w:ascii="Times New Roman" w:hAnsi="Times New Roman"/>
        </w:rPr>
        <w:t xml:space="preserve"> The adoption of the new bankruptcy law was a collaborative effort involving experts from the European Union, the World Bank, and independent specialists supported by the USAID Project on Corporate Governance.</w:t>
      </w:r>
    </w:p>
  </w:footnote>
  <w:footnote w:id="6">
    <w:p w14:paraId="7AA80E0B" w14:textId="77777777" w:rsidR="00E00BC2" w:rsidRPr="00E00BC2" w:rsidRDefault="00E00BC2" w:rsidP="00E00BC2">
      <w:pPr>
        <w:pStyle w:val="FootnoteText"/>
        <w:rPr>
          <w:rFonts w:ascii="Times New Roman" w:hAnsi="Times New Roman"/>
        </w:rPr>
      </w:pPr>
      <w:r w:rsidRPr="00E00BC2">
        <w:rPr>
          <w:rStyle w:val="FootnoteReference"/>
          <w:rFonts w:ascii="Times New Roman" w:hAnsi="Times New Roman"/>
        </w:rPr>
        <w:footnoteRef/>
      </w:r>
      <w:r w:rsidRPr="00E00BC2">
        <w:rPr>
          <w:rFonts w:ascii="Times New Roman" w:hAnsi="Times New Roman"/>
        </w:rPr>
        <w:t xml:space="preserve"> Republic of North Macedonia, Law on Insolvency: </w:t>
      </w:r>
    </w:p>
    <w:p w14:paraId="1C2FB289" w14:textId="77777777" w:rsidR="00E00BC2" w:rsidRPr="00E00BC2" w:rsidRDefault="00E00BC2" w:rsidP="00E00BC2">
      <w:pPr>
        <w:pStyle w:val="FootnoteText"/>
        <w:rPr>
          <w:rFonts w:ascii="Times New Roman" w:hAnsi="Times New Roman"/>
        </w:rPr>
      </w:pPr>
      <w:r w:rsidRPr="00E00BC2">
        <w:rPr>
          <w:rFonts w:ascii="Times New Roman" w:hAnsi="Times New Roman"/>
        </w:rPr>
        <w:t xml:space="preserve">&lt; </w:t>
      </w:r>
      <w:hyperlink r:id="rId1" w:history="1">
        <w:r w:rsidRPr="00E00BC2">
          <w:rPr>
            <w:rStyle w:val="Hyperlink"/>
            <w:rFonts w:ascii="Times New Roman" w:hAnsi="Times New Roman"/>
          </w:rPr>
          <w:t>https://economy.gov.mk/content/downloads/documents/Zakoni/ZAKON%20za%20insolventnost-%2010-03-22%20za%20WEB%20strana%20ME.pdf</w:t>
        </w:r>
      </w:hyperlink>
      <w:r w:rsidRPr="00E00BC2">
        <w:rPr>
          <w:rFonts w:ascii="Times New Roman" w:hAnsi="Times New Roman"/>
        </w:rPr>
        <w:t>&gt;</w:t>
      </w:r>
    </w:p>
  </w:footnote>
  <w:footnote w:id="7">
    <w:p w14:paraId="6CE0F308" w14:textId="77777777" w:rsidR="00E00BC2" w:rsidRPr="00E00BC2" w:rsidRDefault="00E00BC2" w:rsidP="00E00BC2">
      <w:pPr>
        <w:pStyle w:val="FootnoteText"/>
        <w:rPr>
          <w:rFonts w:ascii="Times New Roman" w:hAnsi="Times New Roman"/>
        </w:rPr>
      </w:pPr>
      <w:r w:rsidRPr="00E00BC2">
        <w:rPr>
          <w:rStyle w:val="FootnoteReference"/>
          <w:rFonts w:ascii="Times New Roman" w:hAnsi="Times New Roman"/>
        </w:rPr>
        <w:footnoteRef/>
      </w:r>
      <w:r w:rsidRPr="00E00BC2">
        <w:rPr>
          <w:rFonts w:ascii="Times New Roman" w:hAnsi="Times New Roman"/>
        </w:rPr>
        <w:t xml:space="preserve"> Republic of North Macedonia, Parliamentary Institute, ‘Report on Insolvency Law’:&lt;</w:t>
      </w:r>
      <w:hyperlink r:id="rId2" w:history="1">
        <w:r w:rsidRPr="00E00BC2">
          <w:rPr>
            <w:rStyle w:val="Hyperlink"/>
            <w:rFonts w:ascii="Times New Roman" w:hAnsi="Times New Roman"/>
          </w:rPr>
          <w:t>https://www.sobranie.mk/content/%D0%9F%D0%B0%D1%80%D0%BB%D0%B0%D0%BC%D0%B5%D0%BD%D1%82%D0%B0%D1%80%D0%B5%D0%BD%20%D0%B8%D0%BD%D1%81%D1%82%D0%B8%D1%82%D1%83%D1%82/14.pdf</w:t>
        </w:r>
      </w:hyperlink>
      <w:r w:rsidRPr="00E00BC2">
        <w:rPr>
          <w:rFonts w:ascii="Times New Roman" w:hAnsi="Times New Roman"/>
        </w:rPr>
        <w:t>&gt;</w:t>
      </w:r>
    </w:p>
  </w:footnote>
  <w:footnote w:id="8">
    <w:p w14:paraId="0CD85BC4" w14:textId="77777777" w:rsidR="00E00BC2" w:rsidRPr="00E00BC2" w:rsidRDefault="00E00BC2" w:rsidP="00E00BC2">
      <w:pPr>
        <w:pStyle w:val="FootnoteText"/>
        <w:rPr>
          <w:rFonts w:ascii="Times New Roman" w:hAnsi="Times New Roman"/>
        </w:rPr>
      </w:pPr>
      <w:r w:rsidRPr="00E00BC2">
        <w:rPr>
          <w:rStyle w:val="FootnoteReference"/>
          <w:rFonts w:ascii="Times New Roman" w:hAnsi="Times New Roman"/>
        </w:rPr>
        <w:footnoteRef/>
      </w:r>
      <w:r w:rsidRPr="00E00BC2">
        <w:rPr>
          <w:rFonts w:ascii="Times New Roman" w:hAnsi="Times New Roman"/>
        </w:rPr>
        <w:t xml:space="preserve"> Directive (EU) 2019/1023 of the European Parliament and of the Council of 20 June 2019 is a legal framework aimed at establishing a more efficient and predictable restructuring and insolvency system across the European Union (EU). The directive focuses on helping businesses in financial distress restructure their debts at an early stage to avoid insolvency, thereby preserving jobs and maximizing asset value. Key Objectives of Directive (EU) 2019/1023: (1) Preventive Restructuring Framework; (2) Debt Discharge for Entrepreneurs; (3)</w:t>
      </w:r>
      <w:r w:rsidRPr="00E00BC2">
        <w:rPr>
          <w:rFonts w:ascii="Times New Roman" w:hAnsi="Times New Roman"/>
          <w:sz w:val="22"/>
          <w:szCs w:val="22"/>
        </w:rPr>
        <w:t xml:space="preserve"> </w:t>
      </w:r>
      <w:r w:rsidRPr="00E00BC2">
        <w:rPr>
          <w:rFonts w:ascii="Times New Roman" w:hAnsi="Times New Roman"/>
        </w:rPr>
        <w:t>Increased Efficiency in Insolvency Procedures; (4)</w:t>
      </w:r>
      <w:r w:rsidRPr="00E00BC2">
        <w:rPr>
          <w:rFonts w:ascii="Times New Roman" w:hAnsi="Times New Roman"/>
          <w:sz w:val="22"/>
          <w:szCs w:val="22"/>
        </w:rPr>
        <w:t xml:space="preserve"> </w:t>
      </w:r>
      <w:r w:rsidRPr="00E00BC2">
        <w:rPr>
          <w:rFonts w:ascii="Times New Roman" w:hAnsi="Times New Roman"/>
        </w:rPr>
        <w:t>Harmonization Across Member States; (5) Creditor and Stakeholder Protection; (6) Stay of Individual Enforcement Actions.</w:t>
      </w:r>
    </w:p>
    <w:p w14:paraId="63452A5E" w14:textId="77777777" w:rsidR="00E00BC2" w:rsidRPr="00E00BC2" w:rsidRDefault="00E00BC2" w:rsidP="00E00BC2">
      <w:pPr>
        <w:pStyle w:val="FootnoteText"/>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F64EC" w14:textId="5BC8979A" w:rsidR="006662A9" w:rsidRDefault="006662A9" w:rsidP="006662A9">
    <w:pPr>
      <w:pStyle w:val="Header"/>
      <w:spacing w:after="0"/>
      <w:rPr>
        <w:rFonts w:ascii="Arial" w:hAnsi="Arial" w:cs="Arial"/>
        <w:b/>
        <w:sz w:val="20"/>
      </w:rPr>
    </w:pPr>
    <w:r w:rsidRPr="002331CA">
      <w:rPr>
        <w:rFonts w:ascii="Arial" w:hAnsi="Arial" w:cs="Arial"/>
        <w:b/>
        <w:sz w:val="20"/>
      </w:rPr>
      <w:t>Inside Story (</w:t>
    </w:r>
    <w:r w:rsidR="00E00BC2">
      <w:rPr>
        <w:rFonts w:ascii="Arial" w:hAnsi="Arial" w:cs="Arial"/>
        <w:b/>
        <w:sz w:val="20"/>
      </w:rPr>
      <w:t>February</w:t>
    </w:r>
    <w:r w:rsidRPr="002331CA">
      <w:rPr>
        <w:rFonts w:ascii="Arial" w:hAnsi="Arial" w:cs="Arial"/>
        <w:b/>
        <w:sz w:val="20"/>
      </w:rPr>
      <w:t xml:space="preserve"> 202</w:t>
    </w:r>
    <w:r w:rsidR="00E00BC2">
      <w:rPr>
        <w:rFonts w:ascii="Arial" w:hAnsi="Arial" w:cs="Arial"/>
        <w:b/>
        <w:sz w:val="20"/>
      </w:rPr>
      <w:t>6</w:t>
    </w:r>
    <w:r>
      <w:rPr>
        <w:rFonts w:ascii="Arial" w:hAnsi="Arial" w:cs="Arial"/>
        <w:b/>
        <w:sz w:val="20"/>
      </w:rPr>
      <w:t>)</w:t>
    </w:r>
  </w:p>
  <w:p w14:paraId="5CB97EE8" w14:textId="396CE628" w:rsidR="004F25BE" w:rsidRPr="006662A9" w:rsidRDefault="006662A9" w:rsidP="00C2522B">
    <w:pPr>
      <w:pStyle w:val="Header"/>
      <w:spacing w:after="0"/>
      <w:rPr>
        <w:rFonts w:ascii="Arial" w:hAnsi="Arial" w:cs="Arial"/>
        <w:b/>
        <w:sz w:val="20"/>
      </w:rPr>
    </w:pPr>
    <w:r>
      <w:rPr>
        <w:rFonts w:ascii="Arial" w:hAnsi="Arial" w:cs="Arial"/>
        <w:b/>
        <w:sz w:val="20"/>
      </w:rPr>
      <w:t xml:space="preserve">Marinela Majnova </w:t>
    </w:r>
    <w:r w:rsidRPr="000E6FB9">
      <w:rPr>
        <w:rFonts w:ascii="Arial" w:hAnsi="Arial" w:cs="Arial"/>
        <w:b/>
        <w:sz w:val="20"/>
      </w:rPr>
      <w:t>(</w:t>
    </w:r>
    <w:r>
      <w:rPr>
        <w:rFonts w:ascii="Arial" w:hAnsi="Arial" w:cs="Arial"/>
        <w:b/>
        <w:sz w:val="20"/>
      </w:rPr>
      <w:t>MK</w:t>
    </w:r>
    <w:r w:rsidRPr="000E6FB9">
      <w:rPr>
        <w:rFonts w:ascii="Arial" w:hAnsi="Arial" w:cs="Arial"/>
        <w:b/>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4C0028"/>
    <w:multiLevelType w:val="hybridMultilevel"/>
    <w:tmpl w:val="84C4C65C"/>
    <w:lvl w:ilvl="0" w:tplc="FB9429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A61827"/>
    <w:multiLevelType w:val="hybridMultilevel"/>
    <w:tmpl w:val="AB50B442"/>
    <w:lvl w:ilvl="0" w:tplc="B1D6D3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DC34B1"/>
    <w:multiLevelType w:val="hybridMultilevel"/>
    <w:tmpl w:val="5342A5BA"/>
    <w:lvl w:ilvl="0" w:tplc="9CB073E4">
      <w:start w:val="1"/>
      <w:numFmt w:val="lowerRoman"/>
      <w:lvlText w:val="(%1)"/>
      <w:lvlJc w:val="left"/>
      <w:pPr>
        <w:ind w:left="1080" w:hanging="72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15311D3F"/>
    <w:multiLevelType w:val="hybridMultilevel"/>
    <w:tmpl w:val="C8A861C2"/>
    <w:lvl w:ilvl="0" w:tplc="5DF886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12"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BB401E"/>
    <w:multiLevelType w:val="hybridMultilevel"/>
    <w:tmpl w:val="6D80538E"/>
    <w:lvl w:ilvl="0" w:tplc="FBC8B44C">
      <w:start w:val="1"/>
      <w:numFmt w:val="lowerRoman"/>
      <w:lvlText w:val="(%1)"/>
      <w:lvlJc w:val="left"/>
      <w:pPr>
        <w:ind w:left="720" w:hanging="360"/>
      </w:pPr>
      <w:rPr>
        <w:rFonts w:ascii="Times New Roman" w:eastAsiaTheme="minorHAnsi" w:hAnsi="Times New Roman"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5" w15:restartNumberingAfterBreak="0">
    <w:nsid w:val="28F73AA4"/>
    <w:multiLevelType w:val="hybridMultilevel"/>
    <w:tmpl w:val="728E40E8"/>
    <w:lvl w:ilvl="0" w:tplc="8FDA2D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7" w15:restartNumberingAfterBreak="0">
    <w:nsid w:val="39396F67"/>
    <w:multiLevelType w:val="hybridMultilevel"/>
    <w:tmpl w:val="4D2C20BE"/>
    <w:lvl w:ilvl="0" w:tplc="AF5E50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D09AE"/>
    <w:multiLevelType w:val="hybridMultilevel"/>
    <w:tmpl w:val="5C14ECCC"/>
    <w:lvl w:ilvl="0" w:tplc="01CC4D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A73270"/>
    <w:multiLevelType w:val="hybridMultilevel"/>
    <w:tmpl w:val="43FA641C"/>
    <w:lvl w:ilvl="0" w:tplc="9A460E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5"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84108A1"/>
    <w:multiLevelType w:val="multilevel"/>
    <w:tmpl w:val="831C4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4625F8C"/>
    <w:multiLevelType w:val="hybridMultilevel"/>
    <w:tmpl w:val="9BE06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DCE51A2"/>
    <w:multiLevelType w:val="hybridMultilevel"/>
    <w:tmpl w:val="EB2EC86A"/>
    <w:lvl w:ilvl="0" w:tplc="733EAF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abstractNum w:abstractNumId="32" w15:restartNumberingAfterBreak="0">
    <w:nsid w:val="799A6CA3"/>
    <w:multiLevelType w:val="hybridMultilevel"/>
    <w:tmpl w:val="8EE08D98"/>
    <w:lvl w:ilvl="0" w:tplc="A8FC5864">
      <w:start w:val="1"/>
      <w:numFmt w:val="lowerRoman"/>
      <w:lvlText w:val="(%1)"/>
      <w:lvlJc w:val="left"/>
      <w:pPr>
        <w:ind w:left="1080" w:hanging="72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4210337">
    <w:abstractNumId w:val="11"/>
  </w:num>
  <w:num w:numId="2" w16cid:durableId="170920154">
    <w:abstractNumId w:val="7"/>
  </w:num>
  <w:num w:numId="3" w16cid:durableId="1380743031">
    <w:abstractNumId w:val="29"/>
  </w:num>
  <w:num w:numId="4" w16cid:durableId="680158959">
    <w:abstractNumId w:val="14"/>
  </w:num>
  <w:num w:numId="5" w16cid:durableId="714037301">
    <w:abstractNumId w:val="16"/>
  </w:num>
  <w:num w:numId="6" w16cid:durableId="1612322366">
    <w:abstractNumId w:val="31"/>
  </w:num>
  <w:num w:numId="7" w16cid:durableId="1518621673">
    <w:abstractNumId w:val="0"/>
  </w:num>
  <w:num w:numId="8" w16cid:durableId="1351761418">
    <w:abstractNumId w:val="9"/>
  </w:num>
  <w:num w:numId="9" w16cid:durableId="251744385">
    <w:abstractNumId w:val="2"/>
  </w:num>
  <w:num w:numId="10" w16cid:durableId="1249577993">
    <w:abstractNumId w:val="1"/>
  </w:num>
  <w:num w:numId="11" w16cid:durableId="414402131">
    <w:abstractNumId w:val="25"/>
  </w:num>
  <w:num w:numId="12" w16cid:durableId="1240556151">
    <w:abstractNumId w:val="8"/>
  </w:num>
  <w:num w:numId="13" w16cid:durableId="862942898">
    <w:abstractNumId w:val="24"/>
  </w:num>
  <w:num w:numId="14" w16cid:durableId="420491723">
    <w:abstractNumId w:val="16"/>
  </w:num>
  <w:num w:numId="15" w16cid:durableId="57173266">
    <w:abstractNumId w:val="16"/>
  </w:num>
  <w:num w:numId="16" w16cid:durableId="1780875456">
    <w:abstractNumId w:val="16"/>
  </w:num>
  <w:num w:numId="17" w16cid:durableId="614361590">
    <w:abstractNumId w:val="16"/>
  </w:num>
  <w:num w:numId="18" w16cid:durableId="1924685239">
    <w:abstractNumId w:val="16"/>
  </w:num>
  <w:num w:numId="19" w16cid:durableId="1550149526">
    <w:abstractNumId w:val="16"/>
  </w:num>
  <w:num w:numId="20" w16cid:durableId="1498576757">
    <w:abstractNumId w:val="7"/>
  </w:num>
  <w:num w:numId="21" w16cid:durableId="1666400483">
    <w:abstractNumId w:val="29"/>
  </w:num>
  <w:num w:numId="22" w16cid:durableId="1417627434">
    <w:abstractNumId w:val="16"/>
  </w:num>
  <w:num w:numId="23" w16cid:durableId="1957445328">
    <w:abstractNumId w:val="14"/>
  </w:num>
  <w:num w:numId="24" w16cid:durableId="958292892">
    <w:abstractNumId w:val="27"/>
  </w:num>
  <w:num w:numId="25" w16cid:durableId="811335816">
    <w:abstractNumId w:val="20"/>
  </w:num>
  <w:num w:numId="26" w16cid:durableId="1098329047">
    <w:abstractNumId w:val="23"/>
  </w:num>
  <w:num w:numId="27" w16cid:durableId="1108044362">
    <w:abstractNumId w:val="19"/>
  </w:num>
  <w:num w:numId="28" w16cid:durableId="282734461">
    <w:abstractNumId w:val="22"/>
  </w:num>
  <w:num w:numId="29" w16cid:durableId="1041326624">
    <w:abstractNumId w:val="6"/>
  </w:num>
  <w:num w:numId="30" w16cid:durableId="978609344">
    <w:abstractNumId w:val="12"/>
  </w:num>
  <w:num w:numId="31" w16cid:durableId="2083985059">
    <w:abstractNumId w:val="4"/>
  </w:num>
  <w:num w:numId="32" w16cid:durableId="504133447">
    <w:abstractNumId w:val="15"/>
  </w:num>
  <w:num w:numId="33" w16cid:durableId="1594704111">
    <w:abstractNumId w:val="21"/>
  </w:num>
  <w:num w:numId="34" w16cid:durableId="1988195167">
    <w:abstractNumId w:val="32"/>
  </w:num>
  <w:num w:numId="35" w16cid:durableId="75715218">
    <w:abstractNumId w:val="5"/>
  </w:num>
  <w:num w:numId="36" w16cid:durableId="629363321">
    <w:abstractNumId w:val="3"/>
  </w:num>
  <w:num w:numId="37" w16cid:durableId="1804422699">
    <w:abstractNumId w:val="18"/>
  </w:num>
  <w:num w:numId="38" w16cid:durableId="979304864">
    <w:abstractNumId w:val="30"/>
  </w:num>
  <w:num w:numId="39" w16cid:durableId="581137202">
    <w:abstractNumId w:val="17"/>
  </w:num>
  <w:num w:numId="40" w16cid:durableId="1877691022">
    <w:abstractNumId w:val="10"/>
  </w:num>
  <w:num w:numId="41" w16cid:durableId="378405368">
    <w:abstractNumId w:val="28"/>
  </w:num>
  <w:num w:numId="42" w16cid:durableId="1094400153">
    <w:abstractNumId w:val="13"/>
  </w:num>
  <w:num w:numId="43" w16cid:durableId="845099315">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3C5"/>
    <w:rsid w:val="000016A7"/>
    <w:rsid w:val="00001C5A"/>
    <w:rsid w:val="00002B7B"/>
    <w:rsid w:val="000033DF"/>
    <w:rsid w:val="000126E6"/>
    <w:rsid w:val="00012EBB"/>
    <w:rsid w:val="00024810"/>
    <w:rsid w:val="00033881"/>
    <w:rsid w:val="00086E49"/>
    <w:rsid w:val="000921F0"/>
    <w:rsid w:val="00092307"/>
    <w:rsid w:val="000C2510"/>
    <w:rsid w:val="000C4532"/>
    <w:rsid w:val="000D38BD"/>
    <w:rsid w:val="000D3C8B"/>
    <w:rsid w:val="000D42C6"/>
    <w:rsid w:val="000E1F92"/>
    <w:rsid w:val="00104C2C"/>
    <w:rsid w:val="00114372"/>
    <w:rsid w:val="001171FA"/>
    <w:rsid w:val="00123B71"/>
    <w:rsid w:val="001258A8"/>
    <w:rsid w:val="00127C4A"/>
    <w:rsid w:val="0013504C"/>
    <w:rsid w:val="00141375"/>
    <w:rsid w:val="00145356"/>
    <w:rsid w:val="001465B1"/>
    <w:rsid w:val="00152FBB"/>
    <w:rsid w:val="001635FC"/>
    <w:rsid w:val="0016421F"/>
    <w:rsid w:val="00165972"/>
    <w:rsid w:val="001835B2"/>
    <w:rsid w:val="001904F7"/>
    <w:rsid w:val="001934CC"/>
    <w:rsid w:val="001A0182"/>
    <w:rsid w:val="001A6270"/>
    <w:rsid w:val="001A713B"/>
    <w:rsid w:val="001B0681"/>
    <w:rsid w:val="001B33AD"/>
    <w:rsid w:val="001C462C"/>
    <w:rsid w:val="001C5080"/>
    <w:rsid w:val="001C5B38"/>
    <w:rsid w:val="001D3A90"/>
    <w:rsid w:val="001D5B21"/>
    <w:rsid w:val="001E0189"/>
    <w:rsid w:val="001E6691"/>
    <w:rsid w:val="001F119D"/>
    <w:rsid w:val="00206ECD"/>
    <w:rsid w:val="002415A6"/>
    <w:rsid w:val="002415D7"/>
    <w:rsid w:val="00245633"/>
    <w:rsid w:val="00247BAC"/>
    <w:rsid w:val="002520CE"/>
    <w:rsid w:val="00276632"/>
    <w:rsid w:val="00280030"/>
    <w:rsid w:val="00286649"/>
    <w:rsid w:val="002C6EEA"/>
    <w:rsid w:val="002C7F0B"/>
    <w:rsid w:val="002D5EB0"/>
    <w:rsid w:val="002E09E9"/>
    <w:rsid w:val="002E3051"/>
    <w:rsid w:val="002E481E"/>
    <w:rsid w:val="00301B96"/>
    <w:rsid w:val="003021B6"/>
    <w:rsid w:val="00302B3E"/>
    <w:rsid w:val="003107DB"/>
    <w:rsid w:val="003111F4"/>
    <w:rsid w:val="0031490E"/>
    <w:rsid w:val="003217E3"/>
    <w:rsid w:val="0032563F"/>
    <w:rsid w:val="00326D76"/>
    <w:rsid w:val="00340DE9"/>
    <w:rsid w:val="00340FF0"/>
    <w:rsid w:val="0034767D"/>
    <w:rsid w:val="003518FD"/>
    <w:rsid w:val="00363C82"/>
    <w:rsid w:val="003651E6"/>
    <w:rsid w:val="003666A0"/>
    <w:rsid w:val="00367985"/>
    <w:rsid w:val="00386715"/>
    <w:rsid w:val="00395D89"/>
    <w:rsid w:val="00396E5A"/>
    <w:rsid w:val="003978ED"/>
    <w:rsid w:val="003A4B14"/>
    <w:rsid w:val="003B5A24"/>
    <w:rsid w:val="003C284E"/>
    <w:rsid w:val="003C5E82"/>
    <w:rsid w:val="003C69AB"/>
    <w:rsid w:val="003D128B"/>
    <w:rsid w:val="003D4295"/>
    <w:rsid w:val="003E3EAC"/>
    <w:rsid w:val="003F1EA9"/>
    <w:rsid w:val="00402B8E"/>
    <w:rsid w:val="00404D9A"/>
    <w:rsid w:val="00413E38"/>
    <w:rsid w:val="00415AEE"/>
    <w:rsid w:val="00415DDB"/>
    <w:rsid w:val="00416E13"/>
    <w:rsid w:val="00417D36"/>
    <w:rsid w:val="00423D3B"/>
    <w:rsid w:val="00434808"/>
    <w:rsid w:val="00434A5E"/>
    <w:rsid w:val="00437A17"/>
    <w:rsid w:val="00437BFE"/>
    <w:rsid w:val="00440CF8"/>
    <w:rsid w:val="00442252"/>
    <w:rsid w:val="004433C5"/>
    <w:rsid w:val="00464A22"/>
    <w:rsid w:val="00470254"/>
    <w:rsid w:val="00470746"/>
    <w:rsid w:val="00484F6D"/>
    <w:rsid w:val="00497FD4"/>
    <w:rsid w:val="004B0450"/>
    <w:rsid w:val="004B3FED"/>
    <w:rsid w:val="004C4C84"/>
    <w:rsid w:val="004D1D7E"/>
    <w:rsid w:val="004D6256"/>
    <w:rsid w:val="004E3CAB"/>
    <w:rsid w:val="004F09AF"/>
    <w:rsid w:val="004F25BE"/>
    <w:rsid w:val="004F57B8"/>
    <w:rsid w:val="00512A1D"/>
    <w:rsid w:val="00523482"/>
    <w:rsid w:val="005252B5"/>
    <w:rsid w:val="00531276"/>
    <w:rsid w:val="00535342"/>
    <w:rsid w:val="00555D8C"/>
    <w:rsid w:val="00557280"/>
    <w:rsid w:val="00557A0F"/>
    <w:rsid w:val="00560963"/>
    <w:rsid w:val="00564DE1"/>
    <w:rsid w:val="00567AEC"/>
    <w:rsid w:val="005764A7"/>
    <w:rsid w:val="00577785"/>
    <w:rsid w:val="005805F6"/>
    <w:rsid w:val="00593E77"/>
    <w:rsid w:val="005A7259"/>
    <w:rsid w:val="005C38A8"/>
    <w:rsid w:val="005D0DB7"/>
    <w:rsid w:val="005D423D"/>
    <w:rsid w:val="005D6C09"/>
    <w:rsid w:val="005D783E"/>
    <w:rsid w:val="005D79E3"/>
    <w:rsid w:val="005E7C6B"/>
    <w:rsid w:val="005F5195"/>
    <w:rsid w:val="0060364B"/>
    <w:rsid w:val="00604FCC"/>
    <w:rsid w:val="00617533"/>
    <w:rsid w:val="00621348"/>
    <w:rsid w:val="00622016"/>
    <w:rsid w:val="00623598"/>
    <w:rsid w:val="00644115"/>
    <w:rsid w:val="006441B0"/>
    <w:rsid w:val="006452F3"/>
    <w:rsid w:val="00645BBE"/>
    <w:rsid w:val="0065106A"/>
    <w:rsid w:val="00652135"/>
    <w:rsid w:val="00654AB4"/>
    <w:rsid w:val="006556C9"/>
    <w:rsid w:val="0065633A"/>
    <w:rsid w:val="00664A6B"/>
    <w:rsid w:val="006662A9"/>
    <w:rsid w:val="0067145C"/>
    <w:rsid w:val="00671CF8"/>
    <w:rsid w:val="00673BB3"/>
    <w:rsid w:val="00694350"/>
    <w:rsid w:val="006B1DDC"/>
    <w:rsid w:val="006C31CE"/>
    <w:rsid w:val="006C7892"/>
    <w:rsid w:val="006D0A86"/>
    <w:rsid w:val="006E670E"/>
    <w:rsid w:val="006E7E8D"/>
    <w:rsid w:val="006F0E4E"/>
    <w:rsid w:val="00703D03"/>
    <w:rsid w:val="00704536"/>
    <w:rsid w:val="00707113"/>
    <w:rsid w:val="0070753F"/>
    <w:rsid w:val="007222AE"/>
    <w:rsid w:val="00725E4C"/>
    <w:rsid w:val="00740171"/>
    <w:rsid w:val="00740523"/>
    <w:rsid w:val="00740F50"/>
    <w:rsid w:val="00742594"/>
    <w:rsid w:val="00744347"/>
    <w:rsid w:val="00746F47"/>
    <w:rsid w:val="00755999"/>
    <w:rsid w:val="007600FD"/>
    <w:rsid w:val="00772427"/>
    <w:rsid w:val="00781608"/>
    <w:rsid w:val="007855BF"/>
    <w:rsid w:val="00790DFB"/>
    <w:rsid w:val="007A6A9C"/>
    <w:rsid w:val="007B2C97"/>
    <w:rsid w:val="007C4484"/>
    <w:rsid w:val="007C571D"/>
    <w:rsid w:val="007D04D2"/>
    <w:rsid w:val="007D4792"/>
    <w:rsid w:val="007D5F6C"/>
    <w:rsid w:val="007E1590"/>
    <w:rsid w:val="007E5FA1"/>
    <w:rsid w:val="007F122B"/>
    <w:rsid w:val="00807744"/>
    <w:rsid w:val="0081495C"/>
    <w:rsid w:val="00820AA9"/>
    <w:rsid w:val="00822B31"/>
    <w:rsid w:val="008260FE"/>
    <w:rsid w:val="00830DE8"/>
    <w:rsid w:val="008432D1"/>
    <w:rsid w:val="00847988"/>
    <w:rsid w:val="00850645"/>
    <w:rsid w:val="00867725"/>
    <w:rsid w:val="00876BCD"/>
    <w:rsid w:val="00877CBB"/>
    <w:rsid w:val="00886023"/>
    <w:rsid w:val="008C0E4A"/>
    <w:rsid w:val="008D35A4"/>
    <w:rsid w:val="009069C9"/>
    <w:rsid w:val="009075C7"/>
    <w:rsid w:val="0091176A"/>
    <w:rsid w:val="00914C5C"/>
    <w:rsid w:val="00933B42"/>
    <w:rsid w:val="0093601D"/>
    <w:rsid w:val="00936576"/>
    <w:rsid w:val="009407E2"/>
    <w:rsid w:val="0097178E"/>
    <w:rsid w:val="00971D63"/>
    <w:rsid w:val="00976F27"/>
    <w:rsid w:val="00977889"/>
    <w:rsid w:val="0098305D"/>
    <w:rsid w:val="009A1976"/>
    <w:rsid w:val="009A23D9"/>
    <w:rsid w:val="009A7E2E"/>
    <w:rsid w:val="009B5E68"/>
    <w:rsid w:val="009C6F2A"/>
    <w:rsid w:val="009C7EE2"/>
    <w:rsid w:val="009D2E2A"/>
    <w:rsid w:val="009E00E3"/>
    <w:rsid w:val="009E51C4"/>
    <w:rsid w:val="009F391D"/>
    <w:rsid w:val="009F4D7D"/>
    <w:rsid w:val="009F5265"/>
    <w:rsid w:val="009F52F0"/>
    <w:rsid w:val="00A01EC8"/>
    <w:rsid w:val="00A0599F"/>
    <w:rsid w:val="00A14E9E"/>
    <w:rsid w:val="00A30F6C"/>
    <w:rsid w:val="00A34959"/>
    <w:rsid w:val="00A34E29"/>
    <w:rsid w:val="00A3653C"/>
    <w:rsid w:val="00A3654A"/>
    <w:rsid w:val="00A423CD"/>
    <w:rsid w:val="00A51823"/>
    <w:rsid w:val="00A60A3A"/>
    <w:rsid w:val="00A60B13"/>
    <w:rsid w:val="00A6134E"/>
    <w:rsid w:val="00A61B93"/>
    <w:rsid w:val="00A700A6"/>
    <w:rsid w:val="00A76670"/>
    <w:rsid w:val="00A81F5B"/>
    <w:rsid w:val="00A93BBD"/>
    <w:rsid w:val="00AA64E5"/>
    <w:rsid w:val="00AA741E"/>
    <w:rsid w:val="00AA7715"/>
    <w:rsid w:val="00AB71CB"/>
    <w:rsid w:val="00AC35D7"/>
    <w:rsid w:val="00AC76CA"/>
    <w:rsid w:val="00AD3470"/>
    <w:rsid w:val="00AD6AE4"/>
    <w:rsid w:val="00AE7FC9"/>
    <w:rsid w:val="00AF5A99"/>
    <w:rsid w:val="00B07D0E"/>
    <w:rsid w:val="00B10912"/>
    <w:rsid w:val="00B1789B"/>
    <w:rsid w:val="00B40AE7"/>
    <w:rsid w:val="00B40F88"/>
    <w:rsid w:val="00B41AAD"/>
    <w:rsid w:val="00B46BCC"/>
    <w:rsid w:val="00B6537B"/>
    <w:rsid w:val="00B6681A"/>
    <w:rsid w:val="00B769D2"/>
    <w:rsid w:val="00B8590C"/>
    <w:rsid w:val="00B875E5"/>
    <w:rsid w:val="00B90F44"/>
    <w:rsid w:val="00B9564A"/>
    <w:rsid w:val="00BA0CE2"/>
    <w:rsid w:val="00BA1EF1"/>
    <w:rsid w:val="00BA38DA"/>
    <w:rsid w:val="00BA4F04"/>
    <w:rsid w:val="00BC4BE5"/>
    <w:rsid w:val="00BC4C0D"/>
    <w:rsid w:val="00BD0697"/>
    <w:rsid w:val="00BD0DE1"/>
    <w:rsid w:val="00BE6DD9"/>
    <w:rsid w:val="00BF3D3E"/>
    <w:rsid w:val="00C055CE"/>
    <w:rsid w:val="00C11D8F"/>
    <w:rsid w:val="00C124CD"/>
    <w:rsid w:val="00C14FD7"/>
    <w:rsid w:val="00C15466"/>
    <w:rsid w:val="00C16DFA"/>
    <w:rsid w:val="00C20F62"/>
    <w:rsid w:val="00C2522B"/>
    <w:rsid w:val="00C27460"/>
    <w:rsid w:val="00C363C3"/>
    <w:rsid w:val="00C37814"/>
    <w:rsid w:val="00C44D53"/>
    <w:rsid w:val="00C46809"/>
    <w:rsid w:val="00C54799"/>
    <w:rsid w:val="00C66EC6"/>
    <w:rsid w:val="00C76A78"/>
    <w:rsid w:val="00C813B2"/>
    <w:rsid w:val="00C83284"/>
    <w:rsid w:val="00C8681B"/>
    <w:rsid w:val="00C96534"/>
    <w:rsid w:val="00CA74E8"/>
    <w:rsid w:val="00CC245A"/>
    <w:rsid w:val="00CD5685"/>
    <w:rsid w:val="00CE09C4"/>
    <w:rsid w:val="00CE7016"/>
    <w:rsid w:val="00D00DD4"/>
    <w:rsid w:val="00D15621"/>
    <w:rsid w:val="00D16925"/>
    <w:rsid w:val="00D254C1"/>
    <w:rsid w:val="00D31877"/>
    <w:rsid w:val="00D32C99"/>
    <w:rsid w:val="00D418E6"/>
    <w:rsid w:val="00D4761F"/>
    <w:rsid w:val="00D5046B"/>
    <w:rsid w:val="00D617C3"/>
    <w:rsid w:val="00D6291C"/>
    <w:rsid w:val="00D71EC9"/>
    <w:rsid w:val="00D7286C"/>
    <w:rsid w:val="00D913CF"/>
    <w:rsid w:val="00D9592A"/>
    <w:rsid w:val="00D97BA4"/>
    <w:rsid w:val="00DA2CAE"/>
    <w:rsid w:val="00DC65C2"/>
    <w:rsid w:val="00DE5F99"/>
    <w:rsid w:val="00DE6EB4"/>
    <w:rsid w:val="00DF7344"/>
    <w:rsid w:val="00E007BF"/>
    <w:rsid w:val="00E00BC2"/>
    <w:rsid w:val="00E21C80"/>
    <w:rsid w:val="00E24F7D"/>
    <w:rsid w:val="00E2501C"/>
    <w:rsid w:val="00E37A5D"/>
    <w:rsid w:val="00E477ED"/>
    <w:rsid w:val="00E502EF"/>
    <w:rsid w:val="00E53ABF"/>
    <w:rsid w:val="00E80153"/>
    <w:rsid w:val="00E951FA"/>
    <w:rsid w:val="00EB6116"/>
    <w:rsid w:val="00EC1075"/>
    <w:rsid w:val="00EC1ACB"/>
    <w:rsid w:val="00ED21A7"/>
    <w:rsid w:val="00EE07CD"/>
    <w:rsid w:val="00F20AC6"/>
    <w:rsid w:val="00F26F3D"/>
    <w:rsid w:val="00F36532"/>
    <w:rsid w:val="00F433D7"/>
    <w:rsid w:val="00F47DC8"/>
    <w:rsid w:val="00F55244"/>
    <w:rsid w:val="00F55F2D"/>
    <w:rsid w:val="00F77372"/>
    <w:rsid w:val="00F90C01"/>
    <w:rsid w:val="00F93958"/>
    <w:rsid w:val="00F94B24"/>
    <w:rsid w:val="00FB34E3"/>
    <w:rsid w:val="00FB512C"/>
    <w:rsid w:val="00FB7C3C"/>
    <w:rsid w:val="00FC22D6"/>
    <w:rsid w:val="00FD1151"/>
    <w:rsid w:val="00FD5BC8"/>
    <w:rsid w:val="00FE4C12"/>
    <w:rsid w:val="00FF1CD9"/>
    <w:rsid w:val="00FF6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CD4EA"/>
  <w15:docId w15:val="{C6CF86BC-64A4-4E45-B73D-2A7622E7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uiPriority w:val="99"/>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aliases w:val="fn,Footnote Text Char Char Char Char Char Char,Footnote,Fußnote,FSR footnote,lábléc,single space,FOOTNOTES,Footnote Text Char2 Char,Footnote Text Char1 Char Char,Footnote Text Char Char Char Char,Testo_note,Testo_note1,Car,Footnote ak,12pt"/>
    <w:basedOn w:val="Normal"/>
    <w:link w:val="FootnoteTextChar"/>
    <w:uiPriority w:val="99"/>
    <w:qFormat/>
    <w:rsid w:val="00740F50"/>
    <w:pPr>
      <w:spacing w:after="0"/>
    </w:pPr>
    <w:rPr>
      <w:sz w:val="20"/>
    </w:rPr>
  </w:style>
  <w:style w:type="character" w:customStyle="1" w:styleId="FootnoteTextChar">
    <w:name w:val="Footnote Text Char"/>
    <w:aliases w:val="fn Char,Footnote Text Char Char Char Char Char Char Char,Footnote Char,Fußnote Char,FSR footnote Char,lábléc Char,single space Char,FOOTNOTES Char,Footnote Text Char2 Char Char,Footnote Text Char1 Char Char Char,Testo_note Char"/>
    <w:basedOn w:val="DefaultParagraphFont"/>
    <w:link w:val="FootnoteText"/>
    <w:uiPriority w:val="99"/>
    <w:qFormat/>
    <w:rsid w:val="00740F50"/>
    <w:rPr>
      <w:rFonts w:ascii="Calibri" w:hAnsi="Calibri"/>
      <w:sz w:val="20"/>
      <w:szCs w:val="20"/>
    </w:rPr>
  </w:style>
  <w:style w:type="character" w:styleId="FootnoteReference">
    <w:name w:val="footnote reference"/>
    <w:basedOn w:val="DefaultParagraphFont"/>
    <w:uiPriority w:val="99"/>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paragraph" w:customStyle="1" w:styleId="Body">
    <w:name w:val="Body"/>
    <w:rsid w:val="00C54799"/>
    <w:rPr>
      <w:rFonts w:ascii="Times New Roman" w:eastAsia="Arial Unicode MS" w:hAnsi="Times New Roman" w:cs="Arial Unicode MS"/>
      <w:color w:val="000000"/>
      <w:sz w:val="20"/>
      <w:szCs w:val="20"/>
      <w:u w:color="000000"/>
      <w:lang w:val="en-US"/>
    </w:rPr>
  </w:style>
  <w:style w:type="paragraph" w:customStyle="1" w:styleId="FootnoteText1">
    <w:name w:val="Footnote Text1"/>
    <w:rsid w:val="00C54799"/>
    <w:rPr>
      <w:rFonts w:ascii="Times New Roman" w:hAnsi="Times New Roman"/>
      <w:color w:val="000000"/>
      <w:sz w:val="20"/>
      <w:szCs w:val="20"/>
      <w:u w:color="000000"/>
      <w:lang w:val="en-US"/>
    </w:rPr>
  </w:style>
  <w:style w:type="paragraph" w:styleId="NoSpacing">
    <w:name w:val="No Spacing"/>
    <w:qFormat/>
    <w:rsid w:val="00C54799"/>
    <w:rPr>
      <w:rFonts w:ascii="Calibri" w:eastAsia="Calibri" w:hAnsi="Calibri" w:cs="Calibri"/>
      <w:color w:val="000000"/>
      <w:sz w:val="22"/>
      <w:szCs w:val="22"/>
      <w:u w:color="000000"/>
      <w:lang w:val="de-DE"/>
    </w:rPr>
  </w:style>
  <w:style w:type="character" w:customStyle="1" w:styleId="rynqvb">
    <w:name w:val="rynqvb"/>
    <w:basedOn w:val="DefaultParagraphFont"/>
    <w:rsid w:val="0091176A"/>
  </w:style>
  <w:style w:type="character" w:customStyle="1" w:styleId="hwtze">
    <w:name w:val="hwtze"/>
    <w:basedOn w:val="DefaultParagraphFont"/>
    <w:rsid w:val="0091176A"/>
  </w:style>
  <w:style w:type="character" w:styleId="UnresolvedMention">
    <w:name w:val="Unresolved Mention"/>
    <w:basedOn w:val="DefaultParagraphFont"/>
    <w:uiPriority w:val="99"/>
    <w:semiHidden/>
    <w:unhideWhenUsed/>
    <w:rsid w:val="003A4B14"/>
    <w:rPr>
      <w:color w:val="605E5C"/>
      <w:shd w:val="clear" w:color="auto" w:fill="E1DFDD"/>
    </w:rPr>
  </w:style>
  <w:style w:type="character" w:customStyle="1" w:styleId="apple-converted-space">
    <w:name w:val="apple-converted-space"/>
    <w:basedOn w:val="DefaultParagraphFont"/>
    <w:rsid w:val="00E00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327857">
      <w:bodyDiv w:val="1"/>
      <w:marLeft w:val="0"/>
      <w:marRight w:val="0"/>
      <w:marTop w:val="0"/>
      <w:marBottom w:val="0"/>
      <w:divBdr>
        <w:top w:val="none" w:sz="0" w:space="0" w:color="auto"/>
        <w:left w:val="none" w:sz="0" w:space="0" w:color="auto"/>
        <w:bottom w:val="none" w:sz="0" w:space="0" w:color="auto"/>
        <w:right w:val="none" w:sz="0" w:space="0" w:color="auto"/>
      </w:divBdr>
    </w:div>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975646848">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sobranie.mk/content/%D0%9F%D0%B0%D1%80%D0%BB%D0%B0%D0%BC%D0%B5%D0%BD%D1%82%D0%B0%D1%80%D0%B5%D0%BD%20%D0%B8%D0%BD%D1%81%D1%82%D0%B8%D1%82%D1%83%D1%82/14.pdf" TargetMode="External"/><Relationship Id="rId1" Type="http://schemas.openxmlformats.org/officeDocument/2006/relationships/hyperlink" Target="https://economy.gov.mk/content/downloads/documents/Zakoni/ZAKON%20za%20insolventnost-%2010-03-22%20za%20WEB%20strana%20M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60B01-2B60-47F2-93AB-CB362CEF9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6</Pages>
  <Words>2931</Words>
  <Characters>14895</Characters>
  <Application>Microsoft Office Word</Application>
  <DocSecurity>0</DocSecurity>
  <PresentationFormat/>
  <Lines>310</Lines>
  <Paragraphs>217</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17609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Newson</cp:lastModifiedBy>
  <cp:revision>8</cp:revision>
  <cp:lastPrinted>2017-11-20T20:14:00Z</cp:lastPrinted>
  <dcterms:created xsi:type="dcterms:W3CDTF">2024-07-25T13:47:00Z</dcterms:created>
  <dcterms:modified xsi:type="dcterms:W3CDTF">2026-02-18T14:32:00Z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