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13A8" w14:textId="77777777" w:rsidR="002A672B" w:rsidRPr="002A672B" w:rsidRDefault="002A672B" w:rsidP="00A3355D">
      <w:pPr>
        <w:tabs>
          <w:tab w:val="left" w:pos="474"/>
        </w:tabs>
        <w:spacing w:after="0" w:line="240" w:lineRule="auto"/>
        <w:contextualSpacing/>
        <w:rPr>
          <w:rFonts w:ascii="Times New Roman" w:hAnsi="Times New Roman"/>
          <w:sz w:val="24"/>
          <w:szCs w:val="24"/>
          <w:lang w:val="en-GB"/>
        </w:rPr>
      </w:pPr>
    </w:p>
    <w:p w14:paraId="702207DE" w14:textId="77777777" w:rsidR="002A672B" w:rsidRPr="002A672B" w:rsidRDefault="002A672B" w:rsidP="00A3355D">
      <w:pPr>
        <w:spacing w:after="0" w:line="240" w:lineRule="auto"/>
        <w:contextualSpacing/>
        <w:jc w:val="center"/>
        <w:rPr>
          <w:rFonts w:ascii="Times New Roman" w:hAnsi="Times New Roman"/>
          <w:b/>
          <w:sz w:val="24"/>
          <w:szCs w:val="24"/>
          <w:lang w:val="en-GB"/>
        </w:rPr>
      </w:pPr>
      <w:r w:rsidRPr="002A672B">
        <w:rPr>
          <w:rFonts w:ascii="Times New Roman" w:hAnsi="Times New Roman"/>
          <w:b/>
          <w:noProof/>
          <w:sz w:val="24"/>
          <w:szCs w:val="24"/>
          <w:lang w:val="en-GB"/>
        </w:rPr>
        <w:drawing>
          <wp:inline distT="0" distB="0" distL="0" distR="0" wp14:anchorId="324628EC" wp14:editId="489CC1AC">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7">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6494C8CE" w14:textId="77777777" w:rsidR="002A672B" w:rsidRPr="002A672B" w:rsidRDefault="002A672B" w:rsidP="00A3355D">
      <w:pPr>
        <w:spacing w:after="0" w:line="240" w:lineRule="auto"/>
        <w:contextualSpacing/>
        <w:jc w:val="center"/>
        <w:rPr>
          <w:rFonts w:ascii="Times New Roman" w:hAnsi="Times New Roman"/>
          <w:b/>
          <w:sz w:val="24"/>
          <w:szCs w:val="24"/>
          <w:lang w:val="en-GB"/>
        </w:rPr>
      </w:pPr>
    </w:p>
    <w:p w14:paraId="3AE87C19" w14:textId="507C79C7" w:rsidR="002A672B" w:rsidRPr="002A672B" w:rsidRDefault="002A672B" w:rsidP="00A3355D">
      <w:pPr>
        <w:spacing w:after="0" w:line="240" w:lineRule="auto"/>
        <w:contextualSpacing/>
        <w:jc w:val="center"/>
        <w:rPr>
          <w:rFonts w:ascii="Times New Roman" w:hAnsi="Times New Roman"/>
          <w:b/>
          <w:sz w:val="36"/>
          <w:szCs w:val="36"/>
          <w:lang w:val="en-GB"/>
        </w:rPr>
      </w:pPr>
      <w:r w:rsidRPr="002A672B">
        <w:rPr>
          <w:rFonts w:ascii="Times New Roman" w:hAnsi="Times New Roman"/>
          <w:b/>
          <w:sz w:val="36"/>
          <w:szCs w:val="36"/>
          <w:lang w:val="en-GB"/>
        </w:rPr>
        <w:t xml:space="preserve">Inside Story – </w:t>
      </w:r>
      <w:r w:rsidR="00C94F02">
        <w:rPr>
          <w:rFonts w:ascii="Times New Roman" w:hAnsi="Times New Roman"/>
          <w:b/>
          <w:sz w:val="36"/>
          <w:szCs w:val="36"/>
          <w:lang w:val="en-GB"/>
        </w:rPr>
        <w:t>May</w:t>
      </w:r>
      <w:r w:rsidRPr="002A672B">
        <w:rPr>
          <w:rFonts w:ascii="Times New Roman" w:hAnsi="Times New Roman"/>
          <w:b/>
          <w:sz w:val="36"/>
          <w:szCs w:val="36"/>
          <w:lang w:val="en-GB"/>
        </w:rPr>
        <w:t xml:space="preserve"> 2026</w:t>
      </w:r>
    </w:p>
    <w:p w14:paraId="03EDAF31" w14:textId="77777777" w:rsidR="002A672B" w:rsidRPr="002A672B" w:rsidRDefault="002A672B" w:rsidP="00A3355D">
      <w:pPr>
        <w:spacing w:after="0" w:line="240" w:lineRule="auto"/>
        <w:contextualSpacing/>
        <w:jc w:val="center"/>
        <w:rPr>
          <w:rFonts w:ascii="Times New Roman" w:hAnsi="Times New Roman"/>
          <w:b/>
          <w:sz w:val="24"/>
          <w:szCs w:val="24"/>
          <w:lang w:val="en-GB"/>
        </w:rPr>
      </w:pPr>
    </w:p>
    <w:p w14:paraId="66818384" w14:textId="0C9396E0" w:rsidR="00C94F02" w:rsidRPr="002A672B" w:rsidRDefault="00C94F02" w:rsidP="00C94F02">
      <w:pPr>
        <w:spacing w:after="0" w:line="240" w:lineRule="auto"/>
        <w:jc w:val="center"/>
        <w:rPr>
          <w:rFonts w:ascii="Times New Roman" w:hAnsi="Times New Roman"/>
          <w:b/>
          <w:bCs/>
          <w:sz w:val="28"/>
          <w:szCs w:val="28"/>
          <w:lang w:val="en-GB"/>
        </w:rPr>
      </w:pPr>
      <w:r>
        <w:rPr>
          <w:rFonts w:ascii="Times New Roman" w:hAnsi="Times New Roman"/>
          <w:b/>
          <w:bCs/>
          <w:sz w:val="28"/>
          <w:szCs w:val="28"/>
          <w:lang w:val="en-GB"/>
        </w:rPr>
        <w:t>The Case for Reform: Findings from the Estonian Insolvency Service Annual Report 2025</w:t>
      </w:r>
    </w:p>
    <w:p w14:paraId="202F63B5" w14:textId="4A958FBE" w:rsidR="002A672B" w:rsidRPr="002A672B" w:rsidRDefault="002A672B" w:rsidP="00A3355D">
      <w:pPr>
        <w:spacing w:after="0" w:line="240" w:lineRule="auto"/>
        <w:jc w:val="center"/>
        <w:rPr>
          <w:rFonts w:ascii="Times New Roman" w:hAnsi="Times New Roman"/>
          <w:b/>
          <w:bCs/>
          <w:sz w:val="28"/>
          <w:szCs w:val="28"/>
          <w:lang w:val="en-GB"/>
        </w:rPr>
      </w:pPr>
    </w:p>
    <w:p w14:paraId="4A4EB1B5" w14:textId="77777777" w:rsidR="00C94F02" w:rsidRPr="00C94F02" w:rsidRDefault="00C94F02" w:rsidP="00C94F02">
      <w:pPr>
        <w:spacing w:after="0" w:line="240" w:lineRule="auto"/>
        <w:jc w:val="center"/>
        <w:rPr>
          <w:rFonts w:ascii="Times New Roman" w:hAnsi="Times New Roman" w:cs="Times New Roman"/>
          <w:i/>
          <w:iCs/>
          <w:kern w:val="0"/>
          <w:sz w:val="24"/>
          <w:szCs w:val="24"/>
          <w:lang w:val="en-GB" w:bidi="ar-SA"/>
          <w14:ligatures w14:val="none"/>
        </w:rPr>
      </w:pPr>
      <w:r w:rsidRPr="00C94F02">
        <w:rPr>
          <w:rFonts w:ascii="Times New Roman" w:hAnsi="Times New Roman" w:cs="Times New Roman"/>
          <w:i/>
          <w:iCs/>
          <w:kern w:val="0"/>
          <w:sz w:val="24"/>
          <w:szCs w:val="24"/>
          <w:lang w:val="en-GB" w:bidi="ar-SA"/>
          <w14:ligatures w14:val="none"/>
        </w:rPr>
        <w:t xml:space="preserve">Signe </w:t>
      </w:r>
      <w:proofErr w:type="spellStart"/>
      <w:r w:rsidRPr="00C94F02">
        <w:rPr>
          <w:rFonts w:ascii="Times New Roman" w:hAnsi="Times New Roman" w:cs="Times New Roman"/>
          <w:i/>
          <w:iCs/>
          <w:kern w:val="0"/>
          <w:sz w:val="24"/>
          <w:szCs w:val="24"/>
          <w:lang w:val="en-GB" w:bidi="ar-SA"/>
          <w14:ligatures w14:val="none"/>
        </w:rPr>
        <w:t>Viimsalu</w:t>
      </w:r>
      <w:proofErr w:type="spellEnd"/>
      <w:r w:rsidRPr="00C94F02">
        <w:rPr>
          <w:rFonts w:ascii="Times New Roman" w:hAnsi="Times New Roman" w:cs="Times New Roman"/>
          <w:i/>
          <w:iCs/>
          <w:kern w:val="0"/>
          <w:sz w:val="24"/>
          <w:szCs w:val="24"/>
          <w:lang w:val="en-GB" w:bidi="ar-SA"/>
          <w14:ligatures w14:val="none"/>
        </w:rPr>
        <w:t>, Head, Estonian Insolvency Service</w:t>
      </w:r>
      <w:r w:rsidR="002A672B" w:rsidRPr="00C94F02">
        <w:rPr>
          <w:rFonts w:ascii="Times New Roman" w:hAnsi="Times New Roman" w:cs="Times New Roman"/>
          <w:i/>
          <w:iCs/>
          <w:kern w:val="0"/>
          <w:sz w:val="24"/>
          <w:szCs w:val="24"/>
          <w:lang w:val="en-GB" w:bidi="ar-SA"/>
          <w14:ligatures w14:val="none"/>
        </w:rPr>
        <w:t>.</w:t>
      </w:r>
    </w:p>
    <w:p w14:paraId="0F43B373" w14:textId="2930A5A0" w:rsidR="002A672B" w:rsidRPr="00C94F02" w:rsidRDefault="002A672B" w:rsidP="00C94F02">
      <w:pPr>
        <w:spacing w:after="0" w:line="240" w:lineRule="auto"/>
        <w:jc w:val="center"/>
        <w:rPr>
          <w:rFonts w:ascii="Times New Roman" w:hAnsi="Times New Roman" w:cs="Times New Roman"/>
          <w:i/>
          <w:iCs/>
          <w:kern w:val="0"/>
          <w:sz w:val="24"/>
          <w:szCs w:val="24"/>
          <w:lang w:val="en-GB" w:bidi="ar-SA"/>
          <w14:ligatures w14:val="none"/>
        </w:rPr>
      </w:pPr>
      <w:r w:rsidRPr="00C94F02">
        <w:rPr>
          <w:rFonts w:ascii="Times New Roman" w:hAnsi="Times New Roman" w:cs="Times New Roman"/>
          <w:i/>
          <w:iCs/>
          <w:kern w:val="0"/>
          <w:sz w:val="24"/>
          <w:szCs w:val="24"/>
          <w:lang w:val="en-GB" w:bidi="ar-SA"/>
          <w14:ligatures w14:val="none"/>
        </w:rPr>
        <w:t xml:space="preserve">Email: </w:t>
      </w:r>
      <w:r w:rsidR="00C94F02" w:rsidRPr="00C94F02">
        <w:rPr>
          <w:rFonts w:ascii="Times New Roman" w:hAnsi="Times New Roman" w:cs="Times New Roman"/>
          <w:i/>
          <w:iCs/>
          <w:sz w:val="24"/>
          <w:szCs w:val="24"/>
        </w:rPr>
        <w:t>&lt;</w:t>
      </w:r>
      <w:r w:rsidR="00C94F02" w:rsidRPr="00C94F02">
        <w:rPr>
          <w:rFonts w:ascii="Times New Roman" w:hAnsi="Times New Roman" w:cs="Times New Roman"/>
          <w:i/>
          <w:iCs/>
          <w:sz w:val="24"/>
          <w:szCs w:val="24"/>
          <w:shd w:val="clear" w:color="auto" w:fill="FFFFFF"/>
        </w:rPr>
        <w:t>signe.viimsalu@konkurentsiamet.ee</w:t>
      </w:r>
      <w:r w:rsidRPr="00C94F02">
        <w:rPr>
          <w:rFonts w:ascii="Times New Roman" w:hAnsi="Times New Roman" w:cs="Times New Roman"/>
          <w:i/>
          <w:iCs/>
          <w:kern w:val="0"/>
          <w:sz w:val="24"/>
          <w:szCs w:val="24"/>
          <w:lang w:val="en-GB" w:bidi="ar-SA"/>
          <w14:ligatures w14:val="none"/>
        </w:rPr>
        <w:t>&gt;.</w:t>
      </w:r>
    </w:p>
    <w:p w14:paraId="78E61203" w14:textId="77777777" w:rsidR="002A672B" w:rsidRPr="00C94F02" w:rsidRDefault="002A672B" w:rsidP="00C94F02">
      <w:pPr>
        <w:tabs>
          <w:tab w:val="left" w:pos="474"/>
        </w:tabs>
        <w:spacing w:after="0" w:line="240" w:lineRule="auto"/>
        <w:jc w:val="both"/>
        <w:rPr>
          <w:rFonts w:asciiTheme="majorBidi" w:eastAsia="Times New Roman" w:hAnsiTheme="majorBidi" w:cstheme="majorBidi"/>
          <w:kern w:val="0"/>
          <w:sz w:val="24"/>
          <w:szCs w:val="24"/>
          <w:lang w:val="en-GB" w:eastAsia="en-GB" w:bidi="ar-SA"/>
          <w14:ligatures w14:val="none"/>
        </w:rPr>
      </w:pPr>
    </w:p>
    <w:p w14:paraId="3E3DB19E" w14:textId="1CCA446A" w:rsidR="002A672B" w:rsidRPr="00C94F02" w:rsidRDefault="002A672B" w:rsidP="00C94F02">
      <w:pPr>
        <w:spacing w:after="0" w:line="240" w:lineRule="auto"/>
        <w:jc w:val="both"/>
        <w:rPr>
          <w:rFonts w:asciiTheme="majorBidi" w:hAnsiTheme="majorBidi" w:cstheme="majorBidi"/>
          <w:i/>
          <w:iCs/>
          <w:sz w:val="24"/>
          <w:szCs w:val="24"/>
          <w:lang w:val="en-GB"/>
        </w:rPr>
      </w:pPr>
      <w:r w:rsidRPr="00C94F02">
        <w:rPr>
          <w:rFonts w:asciiTheme="majorBidi" w:hAnsiTheme="majorBidi" w:cstheme="majorBidi"/>
          <w:i/>
          <w:iCs/>
          <w:sz w:val="24"/>
          <w:szCs w:val="24"/>
          <w:lang w:val="en-GB"/>
        </w:rPr>
        <w:t>Introduction</w:t>
      </w:r>
    </w:p>
    <w:p w14:paraId="5FAA43B7" w14:textId="77777777" w:rsidR="00300EF6" w:rsidRPr="00C94F02" w:rsidRDefault="00300EF6" w:rsidP="00C94F02">
      <w:pPr>
        <w:spacing w:after="0" w:line="240" w:lineRule="auto"/>
        <w:jc w:val="both"/>
        <w:rPr>
          <w:rFonts w:asciiTheme="majorBidi" w:hAnsiTheme="majorBidi" w:cstheme="majorBidi"/>
          <w:sz w:val="24"/>
          <w:szCs w:val="24"/>
          <w:lang w:val="en-GB"/>
        </w:rPr>
      </w:pPr>
    </w:p>
    <w:p w14:paraId="1E1A9C72" w14:textId="2FECAD91"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 xml:space="preserve">The Estonian Insolvency Service (Maksejõuetuse teenistus, hereinafter </w:t>
      </w:r>
      <w:r>
        <w:rPr>
          <w:rFonts w:ascii="Times New Roman" w:hAnsi="Times New Roman" w:cs="Times New Roman"/>
          <w:sz w:val="24"/>
          <w:szCs w:val="24"/>
        </w:rPr>
        <w:t>“</w:t>
      </w:r>
      <w:r w:rsidRPr="00C94F02">
        <w:rPr>
          <w:rFonts w:ascii="Times New Roman" w:hAnsi="Times New Roman" w:cs="Times New Roman"/>
          <w:sz w:val="24"/>
          <w:szCs w:val="24"/>
        </w:rPr>
        <w:t>the Service</w:t>
      </w:r>
      <w:r>
        <w:rPr>
          <w:rFonts w:ascii="Times New Roman" w:hAnsi="Times New Roman" w:cs="Times New Roman"/>
          <w:sz w:val="24"/>
          <w:szCs w:val="24"/>
        </w:rPr>
        <w:t>”</w:t>
      </w:r>
      <w:r w:rsidRPr="00C94F02">
        <w:rPr>
          <w:rFonts w:ascii="Times New Roman" w:hAnsi="Times New Roman" w:cs="Times New Roman"/>
          <w:sz w:val="24"/>
          <w:szCs w:val="24"/>
        </w:rPr>
        <w:t>) concluded its third year of operation in 2025, and the data gathered during that period paint a sobering yet instructive picture of the challenges facing insolvency governance in a small, open-market economy. This article summarises the principal findings of our 2025 Annual Report, presented to the Minister of Justice and Digital Affairs on 21 April 2026, and reflects upon the wider structural questions that our experience raises for practitioners and policymakers across Europe.</w:t>
      </w:r>
    </w:p>
    <w:p w14:paraId="63650E2F" w14:textId="77777777" w:rsidR="00C94F02" w:rsidRPr="00C94F02" w:rsidRDefault="00C94F02" w:rsidP="00C94F02">
      <w:pPr>
        <w:spacing w:after="0" w:line="240" w:lineRule="auto"/>
        <w:jc w:val="both"/>
        <w:rPr>
          <w:rFonts w:ascii="Times New Roman" w:hAnsi="Times New Roman" w:cs="Times New Roman"/>
          <w:sz w:val="24"/>
          <w:szCs w:val="24"/>
        </w:rPr>
      </w:pPr>
    </w:p>
    <w:p w14:paraId="7DF087C5" w14:textId="36DE16B6" w:rsidR="00C94F02" w:rsidRPr="00C94F02" w:rsidRDefault="00C94F02" w:rsidP="00C94F02">
      <w:pPr>
        <w:pStyle w:val="Heading2"/>
        <w:spacing w:before="0" w:after="0" w:line="240" w:lineRule="auto"/>
        <w:rPr>
          <w:rFonts w:ascii="Times New Roman" w:hAnsi="Times New Roman" w:cs="Times New Roman"/>
          <w:i/>
          <w:iCs/>
          <w:color w:val="auto"/>
          <w:sz w:val="24"/>
          <w:szCs w:val="24"/>
        </w:rPr>
      </w:pPr>
      <w:r w:rsidRPr="00C94F02">
        <w:rPr>
          <w:rFonts w:ascii="Times New Roman" w:hAnsi="Times New Roman" w:cs="Times New Roman"/>
          <w:i/>
          <w:iCs/>
          <w:color w:val="auto"/>
          <w:sz w:val="24"/>
          <w:szCs w:val="24"/>
        </w:rPr>
        <w:t>Scale and Resources</w:t>
      </w:r>
    </w:p>
    <w:p w14:paraId="011A24B4" w14:textId="77777777" w:rsidR="00C94F02" w:rsidRPr="00C94F02" w:rsidRDefault="00C94F02" w:rsidP="00C94F02">
      <w:pPr>
        <w:spacing w:after="0" w:line="240" w:lineRule="auto"/>
      </w:pPr>
    </w:p>
    <w:p w14:paraId="0F957FEA" w14:textId="09E78219"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The Service operates with a lean establishment: as at 31 December 2025, four officials — the Head and three supervisory experts — carried out all statutory functions, working a combined total of 6,947 hours across the year. The cost per working hour did not exceed €49 inclusive of all taxes and social contributions, and the Service</w:t>
      </w:r>
      <w:r>
        <w:rPr>
          <w:rFonts w:ascii="Times New Roman" w:hAnsi="Times New Roman" w:cs="Times New Roman"/>
          <w:sz w:val="24"/>
          <w:szCs w:val="24"/>
        </w:rPr>
        <w:t>’</w:t>
      </w:r>
      <w:r w:rsidRPr="00C94F02">
        <w:rPr>
          <w:rFonts w:ascii="Times New Roman" w:hAnsi="Times New Roman" w:cs="Times New Roman"/>
          <w:sz w:val="24"/>
          <w:szCs w:val="24"/>
        </w:rPr>
        <w:t>s actual budget utilisation remained at no more than 75% of the appropriation approved by the Minister. The Service neither owns nor uses official vehicles. These figures are offered not as a badge of austerity, but as context for what follows: considerable analytical and supervisory output achieved within deliberately constrained means.</w:t>
      </w:r>
    </w:p>
    <w:p w14:paraId="63002D65" w14:textId="77777777" w:rsidR="00C94F02" w:rsidRPr="00C94F02" w:rsidRDefault="00C94F02" w:rsidP="00C94F02">
      <w:pPr>
        <w:spacing w:after="0" w:line="240" w:lineRule="auto"/>
        <w:jc w:val="both"/>
        <w:rPr>
          <w:rFonts w:ascii="Times New Roman" w:hAnsi="Times New Roman" w:cs="Times New Roman"/>
          <w:sz w:val="24"/>
          <w:szCs w:val="24"/>
        </w:rPr>
      </w:pPr>
    </w:p>
    <w:p w14:paraId="7558E47C" w14:textId="77777777" w:rsidR="00C94F02" w:rsidRPr="00C94F02" w:rsidRDefault="00C94F02" w:rsidP="00C94F02">
      <w:pPr>
        <w:pStyle w:val="Heading2"/>
        <w:spacing w:before="0" w:after="0" w:line="240" w:lineRule="auto"/>
        <w:rPr>
          <w:rFonts w:ascii="Times New Roman" w:hAnsi="Times New Roman" w:cs="Times New Roman"/>
          <w:i/>
          <w:iCs/>
          <w:color w:val="auto"/>
          <w:sz w:val="24"/>
          <w:szCs w:val="24"/>
        </w:rPr>
      </w:pPr>
      <w:r w:rsidRPr="00C94F02">
        <w:rPr>
          <w:rFonts w:ascii="Times New Roman" w:hAnsi="Times New Roman" w:cs="Times New Roman"/>
          <w:i/>
          <w:iCs/>
          <w:color w:val="auto"/>
          <w:sz w:val="24"/>
          <w:szCs w:val="24"/>
        </w:rPr>
        <w:t>State Supervision: The Anatomy of Assetless Insolvency</w:t>
      </w:r>
    </w:p>
    <w:p w14:paraId="1017DA25" w14:textId="77777777" w:rsidR="00C94F02" w:rsidRDefault="00C94F02" w:rsidP="00C94F02">
      <w:pPr>
        <w:spacing w:after="0" w:line="240" w:lineRule="auto"/>
        <w:jc w:val="both"/>
        <w:rPr>
          <w:rFonts w:ascii="Times New Roman" w:hAnsi="Times New Roman" w:cs="Times New Roman"/>
          <w:sz w:val="24"/>
          <w:szCs w:val="24"/>
        </w:rPr>
      </w:pPr>
    </w:p>
    <w:p w14:paraId="6E4256E4" w14:textId="25CB6ECA"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The Service</w:t>
      </w:r>
      <w:r>
        <w:rPr>
          <w:rFonts w:ascii="Times New Roman" w:hAnsi="Times New Roman" w:cs="Times New Roman"/>
          <w:sz w:val="24"/>
          <w:szCs w:val="24"/>
        </w:rPr>
        <w:t>’</w:t>
      </w:r>
      <w:r w:rsidRPr="00C94F02">
        <w:rPr>
          <w:rFonts w:ascii="Times New Roman" w:hAnsi="Times New Roman" w:cs="Times New Roman"/>
          <w:sz w:val="24"/>
          <w:szCs w:val="24"/>
        </w:rPr>
        <w:t>s principal statutory function is state supervision over insolvent legal persons and their associates. In 2025, we reviewed 192 assetless insolvent legal persons referred to us by the county courts for analysis. The aggregate harm caused to creditors and to Estonian society by the conduct of those companies</w:t>
      </w:r>
      <w:r>
        <w:rPr>
          <w:rFonts w:ascii="Times New Roman" w:hAnsi="Times New Roman" w:cs="Times New Roman"/>
          <w:sz w:val="24"/>
          <w:szCs w:val="24"/>
        </w:rPr>
        <w:t>’</w:t>
      </w:r>
      <w:r w:rsidRPr="00C94F02">
        <w:rPr>
          <w:rFonts w:ascii="Times New Roman" w:hAnsi="Times New Roman" w:cs="Times New Roman"/>
          <w:sz w:val="24"/>
          <w:szCs w:val="24"/>
        </w:rPr>
        <w:t xml:space="preserve"> associates amounts, to our knowledge, to </w:t>
      </w:r>
      <w:r w:rsidRPr="00C94F02">
        <w:rPr>
          <w:rFonts w:ascii="Times New Roman" w:hAnsi="Times New Roman" w:cs="Times New Roman"/>
          <w:b/>
          <w:bCs/>
          <w:sz w:val="24"/>
          <w:szCs w:val="24"/>
        </w:rPr>
        <w:t>€73.9 million</w:t>
      </w:r>
      <w:r w:rsidRPr="00C94F02">
        <w:rPr>
          <w:rFonts w:ascii="Times New Roman" w:hAnsi="Times New Roman" w:cs="Times New Roman"/>
          <w:sz w:val="24"/>
          <w:szCs w:val="24"/>
        </w:rPr>
        <w:t xml:space="preserve"> — an increase of 52% compared with the preceding year. Unpaid tax liabilities to the Estonian Tax and Customs Board in these cases reached €9.1 million, and the Estonian Unemployment Insurance Fund was compelled to compensate employees for unpaid wages </w:t>
      </w:r>
      <w:r w:rsidRPr="00C94F02">
        <w:rPr>
          <w:rFonts w:ascii="Times New Roman" w:hAnsi="Times New Roman" w:cs="Times New Roman"/>
          <w:sz w:val="24"/>
          <w:szCs w:val="24"/>
        </w:rPr>
        <w:lastRenderedPageBreak/>
        <w:t>of nearly €1 million, a sum for which it presently has no right of recourse against the directors responsible.</w:t>
      </w:r>
    </w:p>
    <w:p w14:paraId="0866106E" w14:textId="77777777" w:rsidR="00C94F02" w:rsidRPr="00C94F02" w:rsidRDefault="00C94F02" w:rsidP="00C94F02">
      <w:pPr>
        <w:spacing w:after="0" w:line="240" w:lineRule="auto"/>
        <w:jc w:val="both"/>
        <w:rPr>
          <w:rFonts w:ascii="Times New Roman" w:hAnsi="Times New Roman" w:cs="Times New Roman"/>
          <w:sz w:val="24"/>
          <w:szCs w:val="24"/>
        </w:rPr>
      </w:pPr>
    </w:p>
    <w:p w14:paraId="020C4DC3" w14:textId="4E9105A8"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 xml:space="preserve">The average debt left behind per assetless insolvent entity has risen dramatically: from below €100,000 in 2023, to approximately €255,000 in 2024, and to </w:t>
      </w:r>
      <w:r w:rsidRPr="00C94F02">
        <w:rPr>
          <w:rFonts w:ascii="Times New Roman" w:hAnsi="Times New Roman" w:cs="Times New Roman"/>
          <w:b/>
          <w:bCs/>
          <w:sz w:val="24"/>
          <w:szCs w:val="24"/>
        </w:rPr>
        <w:t>€385,000 in 2025</w:t>
      </w:r>
      <w:r w:rsidRPr="00C94F02">
        <w:rPr>
          <w:rFonts w:ascii="Times New Roman" w:hAnsi="Times New Roman" w:cs="Times New Roman"/>
          <w:sz w:val="24"/>
          <w:szCs w:val="24"/>
        </w:rPr>
        <w:t>. Twelve entities alone accounted for some 62% of the total debt — approximately €45.6 million — with one debtor carrying obligations in excess of €14 million.</w:t>
      </w:r>
    </w:p>
    <w:p w14:paraId="2C92D2A0" w14:textId="77777777" w:rsidR="00C94F02" w:rsidRPr="00C94F02" w:rsidRDefault="00C94F02" w:rsidP="00C94F02">
      <w:pPr>
        <w:spacing w:after="0" w:line="240" w:lineRule="auto"/>
        <w:jc w:val="both"/>
        <w:rPr>
          <w:rFonts w:ascii="Times New Roman" w:hAnsi="Times New Roman" w:cs="Times New Roman"/>
          <w:sz w:val="24"/>
          <w:szCs w:val="24"/>
        </w:rPr>
      </w:pPr>
    </w:p>
    <w:p w14:paraId="2D0FD8BB" w14:textId="17A720BD"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The most prevalent sectors were wholesale and retail trade (19% of cases, €5.9 million in claims), construction (14%, €11.4 million), manufacturing (10%), and food services (8%). Creditor claims against entities operating in financial and insurance activities amounted to €17.7 million across only five debtors, while the real estate sector</w:t>
      </w:r>
      <w:r>
        <w:rPr>
          <w:rFonts w:ascii="Times New Roman" w:hAnsi="Times New Roman" w:cs="Times New Roman"/>
          <w:sz w:val="24"/>
          <w:szCs w:val="24"/>
        </w:rPr>
        <w:t>’</w:t>
      </w:r>
      <w:r w:rsidRPr="00C94F02">
        <w:rPr>
          <w:rFonts w:ascii="Times New Roman" w:hAnsi="Times New Roman" w:cs="Times New Roman"/>
          <w:sz w:val="24"/>
          <w:szCs w:val="24"/>
        </w:rPr>
        <w:t>s aggregate debt rose from €2.7 million to €10.9 million year-on-year.</w:t>
      </w:r>
    </w:p>
    <w:p w14:paraId="019FB99F" w14:textId="77777777" w:rsidR="00C94F02" w:rsidRPr="00C94F02" w:rsidRDefault="00C94F02" w:rsidP="00C94F02">
      <w:pPr>
        <w:spacing w:after="0" w:line="240" w:lineRule="auto"/>
        <w:jc w:val="both"/>
        <w:rPr>
          <w:rFonts w:ascii="Times New Roman" w:hAnsi="Times New Roman" w:cs="Times New Roman"/>
          <w:sz w:val="24"/>
          <w:szCs w:val="24"/>
        </w:rPr>
      </w:pPr>
    </w:p>
    <w:p w14:paraId="53FA3BD3" w14:textId="67A0BCC3" w:rsidR="00C94F02" w:rsidRPr="00C94F02" w:rsidRDefault="00C94F02" w:rsidP="00C94F02">
      <w:pPr>
        <w:pStyle w:val="Heading2"/>
        <w:spacing w:before="0" w:after="0" w:line="240" w:lineRule="auto"/>
        <w:rPr>
          <w:rFonts w:ascii="Times New Roman" w:hAnsi="Times New Roman" w:cs="Times New Roman"/>
          <w:i/>
          <w:iCs/>
          <w:color w:val="auto"/>
          <w:sz w:val="24"/>
          <w:szCs w:val="24"/>
        </w:rPr>
      </w:pPr>
      <w:r w:rsidRPr="00C94F02">
        <w:rPr>
          <w:rFonts w:ascii="Times New Roman" w:hAnsi="Times New Roman" w:cs="Times New Roman"/>
          <w:i/>
          <w:iCs/>
          <w:color w:val="auto"/>
          <w:sz w:val="24"/>
          <w:szCs w:val="24"/>
        </w:rPr>
        <w:t>Management Failures and Governance Deficits</w:t>
      </w:r>
    </w:p>
    <w:p w14:paraId="1C7660EE" w14:textId="77777777" w:rsidR="00C94F02" w:rsidRPr="00C94F02" w:rsidRDefault="00C94F02" w:rsidP="00C94F02">
      <w:pPr>
        <w:spacing w:after="0" w:line="240" w:lineRule="auto"/>
      </w:pPr>
    </w:p>
    <w:p w14:paraId="41D5FFD8" w14:textId="04715279"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 xml:space="preserve">The pattern of misconduct identified across these 192 cases is, regrettably, consistent with prior years. In </w:t>
      </w:r>
      <w:r w:rsidRPr="00C94F02">
        <w:rPr>
          <w:rFonts w:ascii="Times New Roman" w:hAnsi="Times New Roman" w:cs="Times New Roman"/>
          <w:b/>
          <w:bCs/>
          <w:sz w:val="24"/>
          <w:szCs w:val="24"/>
        </w:rPr>
        <w:t>81% of cases</w:t>
      </w:r>
      <w:r w:rsidRPr="00C94F02">
        <w:rPr>
          <w:rFonts w:ascii="Times New Roman" w:hAnsi="Times New Roman" w:cs="Times New Roman"/>
          <w:sz w:val="24"/>
          <w:szCs w:val="24"/>
        </w:rPr>
        <w:t xml:space="preserve">, directors failed to file for insolvency in a timely manner. Accounting irregularities or an outright absence of bookkeeping were found in </w:t>
      </w:r>
      <w:r w:rsidRPr="00C94F02">
        <w:rPr>
          <w:rFonts w:ascii="Times New Roman" w:hAnsi="Times New Roman" w:cs="Times New Roman"/>
          <w:b/>
          <w:bCs/>
          <w:sz w:val="24"/>
          <w:szCs w:val="24"/>
        </w:rPr>
        <w:t>47%</w:t>
      </w:r>
      <w:r w:rsidRPr="00C94F02">
        <w:rPr>
          <w:rFonts w:ascii="Times New Roman" w:hAnsi="Times New Roman" w:cs="Times New Roman"/>
          <w:sz w:val="24"/>
          <w:szCs w:val="24"/>
        </w:rPr>
        <w:t xml:space="preserve"> of cases. In </w:t>
      </w:r>
      <w:r w:rsidRPr="00C94F02">
        <w:rPr>
          <w:rFonts w:ascii="Times New Roman" w:hAnsi="Times New Roman" w:cs="Times New Roman"/>
          <w:b/>
          <w:bCs/>
          <w:sz w:val="24"/>
          <w:szCs w:val="24"/>
        </w:rPr>
        <w:t>45%</w:t>
      </w:r>
      <w:r w:rsidRPr="00C94F02">
        <w:rPr>
          <w:rFonts w:ascii="Times New Roman" w:hAnsi="Times New Roman" w:cs="Times New Roman"/>
          <w:sz w:val="24"/>
          <w:szCs w:val="24"/>
        </w:rPr>
        <w:t xml:space="preserve"> of cases, company funds were used for purposes unrelated to the business, or assets were transferred out of the entity. An inability to formulate and execute a viable business plan was evident in over half of all cases reviewed.</w:t>
      </w:r>
    </w:p>
    <w:p w14:paraId="0A758E6D" w14:textId="77777777" w:rsidR="00C94F02" w:rsidRPr="00C94F02" w:rsidRDefault="00C94F02" w:rsidP="00C94F02">
      <w:pPr>
        <w:spacing w:after="0" w:line="240" w:lineRule="auto"/>
        <w:jc w:val="both"/>
        <w:rPr>
          <w:rFonts w:ascii="Times New Roman" w:hAnsi="Times New Roman" w:cs="Times New Roman"/>
          <w:sz w:val="24"/>
          <w:szCs w:val="24"/>
        </w:rPr>
      </w:pPr>
    </w:p>
    <w:p w14:paraId="49C4D46A" w14:textId="5AE5B45A"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 xml:space="preserve">In our assessment, </w:t>
      </w:r>
      <w:r w:rsidRPr="00C94F02">
        <w:rPr>
          <w:rFonts w:ascii="Times New Roman" w:hAnsi="Times New Roman" w:cs="Times New Roman"/>
          <w:b/>
          <w:bCs/>
          <w:sz w:val="24"/>
          <w:szCs w:val="24"/>
        </w:rPr>
        <w:t>48 individuals</w:t>
      </w:r>
      <w:r w:rsidRPr="00C94F02">
        <w:rPr>
          <w:rFonts w:ascii="Times New Roman" w:hAnsi="Times New Roman" w:cs="Times New Roman"/>
          <w:sz w:val="24"/>
          <w:szCs w:val="24"/>
        </w:rPr>
        <w:t xml:space="preserve"> across these proceedings merited the application of a directors</w:t>
      </w:r>
      <w:r>
        <w:rPr>
          <w:rFonts w:ascii="Times New Roman" w:hAnsi="Times New Roman" w:cs="Times New Roman"/>
          <w:sz w:val="24"/>
          <w:szCs w:val="24"/>
        </w:rPr>
        <w:t>’</w:t>
      </w:r>
      <w:r w:rsidRPr="00C94F02">
        <w:rPr>
          <w:rFonts w:ascii="Times New Roman" w:hAnsi="Times New Roman" w:cs="Times New Roman"/>
          <w:sz w:val="24"/>
          <w:szCs w:val="24"/>
        </w:rPr>
        <w:t xml:space="preserve"> disqualification order (ärikeeld). Some 22% of cases exhibited characteristics indicative of criminal conduct. By the end of 2025, the Service had cumulatively applied to the courts for disqualification orders in respect of 23 individuals; courts had granted the order in 7 out of 11 decided applications, representing a success rate of approximately 66–67%. The average processing time across all 15 applications filed to date stands at </w:t>
      </w:r>
      <w:r w:rsidRPr="00C94F02">
        <w:rPr>
          <w:rFonts w:ascii="Times New Roman" w:hAnsi="Times New Roman" w:cs="Times New Roman"/>
          <w:b/>
          <w:bCs/>
          <w:sz w:val="24"/>
          <w:szCs w:val="24"/>
        </w:rPr>
        <w:t>302 calendar days</w:t>
      </w:r>
      <w:r w:rsidRPr="00C94F02">
        <w:rPr>
          <w:rFonts w:ascii="Times New Roman" w:hAnsi="Times New Roman" w:cs="Times New Roman"/>
          <w:sz w:val="24"/>
          <w:szCs w:val="24"/>
        </w:rPr>
        <w:t xml:space="preserve"> — a delay the Service regards as unacceptable given the preventive purpose of interim management restrictions.</w:t>
      </w:r>
    </w:p>
    <w:p w14:paraId="3944C8D9" w14:textId="77777777" w:rsidR="00C94F02" w:rsidRPr="00C94F02" w:rsidRDefault="00C94F02" w:rsidP="00C94F02">
      <w:pPr>
        <w:spacing w:after="0" w:line="240" w:lineRule="auto"/>
        <w:jc w:val="both"/>
        <w:rPr>
          <w:rFonts w:ascii="Times New Roman" w:hAnsi="Times New Roman" w:cs="Times New Roman"/>
          <w:sz w:val="24"/>
          <w:szCs w:val="24"/>
        </w:rPr>
      </w:pPr>
    </w:p>
    <w:p w14:paraId="1F15C345" w14:textId="77777777" w:rsidR="00C94F02" w:rsidRPr="00C94F02" w:rsidRDefault="00C94F02" w:rsidP="00C94F02">
      <w:pPr>
        <w:pStyle w:val="Heading2"/>
        <w:spacing w:before="0" w:after="0" w:line="240" w:lineRule="auto"/>
        <w:rPr>
          <w:rFonts w:ascii="Times New Roman" w:hAnsi="Times New Roman" w:cs="Times New Roman"/>
          <w:i/>
          <w:iCs/>
          <w:color w:val="auto"/>
          <w:sz w:val="24"/>
          <w:szCs w:val="24"/>
        </w:rPr>
      </w:pPr>
      <w:r w:rsidRPr="00C94F02">
        <w:rPr>
          <w:rFonts w:ascii="Times New Roman" w:hAnsi="Times New Roman" w:cs="Times New Roman"/>
          <w:i/>
          <w:iCs/>
          <w:color w:val="auto"/>
          <w:sz w:val="24"/>
          <w:szCs w:val="24"/>
        </w:rPr>
        <w:t>Administrative Supervision: Jurisdictional Clarity and Its Limits</w:t>
      </w:r>
    </w:p>
    <w:p w14:paraId="2A42288F" w14:textId="77777777" w:rsidR="00C94F02" w:rsidRDefault="00C94F02" w:rsidP="00C94F02">
      <w:pPr>
        <w:spacing w:after="0" w:line="240" w:lineRule="auto"/>
        <w:jc w:val="both"/>
        <w:rPr>
          <w:rFonts w:ascii="Times New Roman" w:hAnsi="Times New Roman" w:cs="Times New Roman"/>
          <w:sz w:val="24"/>
          <w:szCs w:val="24"/>
        </w:rPr>
      </w:pPr>
    </w:p>
    <w:p w14:paraId="20F102F6" w14:textId="471ABF01"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A significant development in 2025 was the Supreme Court Administrative Chamber</w:t>
      </w:r>
      <w:r>
        <w:rPr>
          <w:rFonts w:ascii="Times New Roman" w:hAnsi="Times New Roman" w:cs="Times New Roman"/>
          <w:sz w:val="24"/>
          <w:szCs w:val="24"/>
        </w:rPr>
        <w:t>’</w:t>
      </w:r>
      <w:r w:rsidRPr="00C94F02">
        <w:rPr>
          <w:rFonts w:ascii="Times New Roman" w:hAnsi="Times New Roman" w:cs="Times New Roman"/>
          <w:sz w:val="24"/>
          <w:szCs w:val="24"/>
        </w:rPr>
        <w:t>s ruling of 6 February 2025 (case no. 3-24-146), which clarified — and in certain respects narrowed — the Service</w:t>
      </w:r>
      <w:r>
        <w:rPr>
          <w:rFonts w:ascii="Times New Roman" w:hAnsi="Times New Roman" w:cs="Times New Roman"/>
          <w:sz w:val="24"/>
          <w:szCs w:val="24"/>
        </w:rPr>
        <w:t>’</w:t>
      </w:r>
      <w:r w:rsidRPr="00C94F02">
        <w:rPr>
          <w:rFonts w:ascii="Times New Roman" w:hAnsi="Times New Roman" w:cs="Times New Roman"/>
          <w:sz w:val="24"/>
          <w:szCs w:val="24"/>
        </w:rPr>
        <w:t>s supervisory competence. The ruling confirmed that the Service does not have standing to challenge decisions of the Bar Association</w:t>
      </w:r>
      <w:r>
        <w:rPr>
          <w:rFonts w:ascii="Times New Roman" w:hAnsi="Times New Roman" w:cs="Times New Roman"/>
          <w:sz w:val="24"/>
          <w:szCs w:val="24"/>
        </w:rPr>
        <w:t>’</w:t>
      </w:r>
      <w:r w:rsidRPr="00C94F02">
        <w:rPr>
          <w:rFonts w:ascii="Times New Roman" w:hAnsi="Times New Roman" w:cs="Times New Roman"/>
          <w:sz w:val="24"/>
          <w:szCs w:val="24"/>
        </w:rPr>
        <w:t>s Honour Court, and that its supervisory jurisdiction does not extend to restructuring advisers. Competence to impose practice bans and fines on trustees is distributed between the supervising court (within a specific proceeding) and the Honour Courts of the Bar Association or the Chamber of Bailiffs and Trustees (outside proceedings). This ruling materially shaped the Service</w:t>
      </w:r>
      <w:r>
        <w:rPr>
          <w:rFonts w:ascii="Times New Roman" w:hAnsi="Times New Roman" w:cs="Times New Roman"/>
          <w:sz w:val="24"/>
          <w:szCs w:val="24"/>
        </w:rPr>
        <w:t>’</w:t>
      </w:r>
      <w:r w:rsidRPr="00C94F02">
        <w:rPr>
          <w:rFonts w:ascii="Times New Roman" w:hAnsi="Times New Roman" w:cs="Times New Roman"/>
          <w:sz w:val="24"/>
          <w:szCs w:val="24"/>
        </w:rPr>
        <w:t>s approach to administrative supervision in the second half of 2025.</w:t>
      </w:r>
    </w:p>
    <w:p w14:paraId="681E6706" w14:textId="77777777" w:rsidR="00C94F02" w:rsidRPr="00C94F02" w:rsidRDefault="00C94F02" w:rsidP="00C94F02">
      <w:pPr>
        <w:spacing w:after="0" w:line="240" w:lineRule="auto"/>
        <w:jc w:val="both"/>
        <w:rPr>
          <w:rFonts w:ascii="Times New Roman" w:hAnsi="Times New Roman" w:cs="Times New Roman"/>
          <w:sz w:val="24"/>
          <w:szCs w:val="24"/>
        </w:rPr>
      </w:pPr>
    </w:p>
    <w:p w14:paraId="590B697D" w14:textId="71632CF7"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Within the 192 proceedings reviewed, the Service identified trustee errors or violations in approximately 9% of cases and informed the supervising courts accordingly. These included disproportionate fee requests, unauthorised delegation of statutory duties, unjustified procedural delays (one proceeding had been open for five years), failure to take possession of the debtor</w:t>
      </w:r>
      <w:r>
        <w:rPr>
          <w:rFonts w:ascii="Times New Roman" w:hAnsi="Times New Roman" w:cs="Times New Roman"/>
          <w:sz w:val="24"/>
          <w:szCs w:val="24"/>
        </w:rPr>
        <w:t>’</w:t>
      </w:r>
      <w:r w:rsidRPr="00C94F02">
        <w:rPr>
          <w:rFonts w:ascii="Times New Roman" w:hAnsi="Times New Roman" w:cs="Times New Roman"/>
          <w:sz w:val="24"/>
          <w:szCs w:val="24"/>
        </w:rPr>
        <w:t xml:space="preserve">s assets, and non-compliance with data protection requirements. In three cases, </w:t>
      </w:r>
      <w:r w:rsidRPr="00C94F02">
        <w:rPr>
          <w:rFonts w:ascii="Times New Roman" w:hAnsi="Times New Roman" w:cs="Times New Roman"/>
          <w:sz w:val="24"/>
          <w:szCs w:val="24"/>
        </w:rPr>
        <w:lastRenderedPageBreak/>
        <w:t>the court agreed with the Service</w:t>
      </w:r>
      <w:r>
        <w:rPr>
          <w:rFonts w:ascii="Times New Roman" w:hAnsi="Times New Roman" w:cs="Times New Roman"/>
          <w:sz w:val="24"/>
          <w:szCs w:val="24"/>
        </w:rPr>
        <w:t>’</w:t>
      </w:r>
      <w:r w:rsidRPr="00C94F02">
        <w:rPr>
          <w:rFonts w:ascii="Times New Roman" w:hAnsi="Times New Roman" w:cs="Times New Roman"/>
          <w:sz w:val="24"/>
          <w:szCs w:val="24"/>
        </w:rPr>
        <w:t>s position and reduced the trustee</w:t>
      </w:r>
      <w:r>
        <w:rPr>
          <w:rFonts w:ascii="Times New Roman" w:hAnsi="Times New Roman" w:cs="Times New Roman"/>
          <w:sz w:val="24"/>
          <w:szCs w:val="24"/>
        </w:rPr>
        <w:t>’</w:t>
      </w:r>
      <w:r w:rsidRPr="00C94F02">
        <w:rPr>
          <w:rFonts w:ascii="Times New Roman" w:hAnsi="Times New Roman" w:cs="Times New Roman"/>
          <w:sz w:val="24"/>
          <w:szCs w:val="24"/>
        </w:rPr>
        <w:t>s remuneration accordingly.</w:t>
      </w:r>
    </w:p>
    <w:p w14:paraId="04C0ED21" w14:textId="77777777" w:rsidR="00C94F02" w:rsidRPr="00C94F02" w:rsidRDefault="00C94F02" w:rsidP="00C94F02">
      <w:pPr>
        <w:spacing w:after="0" w:line="240" w:lineRule="auto"/>
        <w:jc w:val="both"/>
        <w:rPr>
          <w:rFonts w:ascii="Times New Roman" w:hAnsi="Times New Roman" w:cs="Times New Roman"/>
          <w:sz w:val="24"/>
          <w:szCs w:val="24"/>
        </w:rPr>
      </w:pPr>
    </w:p>
    <w:p w14:paraId="25DABD40" w14:textId="7855C5F4"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The Service continues to hold the view that the present multi-layered supervisory architecture — distributed across courts, professional bodies, and the Service itself — is neither coherent, cost-effective, nor transparent. One public-interest service should have one owner, one controller, and one form of oversight.</w:t>
      </w:r>
    </w:p>
    <w:p w14:paraId="0D981FF9" w14:textId="77777777" w:rsidR="00C94F02" w:rsidRPr="00C94F02" w:rsidRDefault="00C94F02" w:rsidP="00C94F02">
      <w:pPr>
        <w:spacing w:after="0" w:line="240" w:lineRule="auto"/>
        <w:jc w:val="both"/>
        <w:rPr>
          <w:rFonts w:ascii="Times New Roman" w:hAnsi="Times New Roman" w:cs="Times New Roman"/>
          <w:sz w:val="24"/>
          <w:szCs w:val="24"/>
        </w:rPr>
      </w:pPr>
    </w:p>
    <w:p w14:paraId="539AF5BF" w14:textId="200F5087" w:rsidR="00C94F02" w:rsidRPr="00C94F02" w:rsidRDefault="00C94F02" w:rsidP="00C94F02">
      <w:pPr>
        <w:pStyle w:val="Heading2"/>
        <w:spacing w:before="0" w:after="0" w:line="240" w:lineRule="auto"/>
        <w:rPr>
          <w:rFonts w:ascii="Times New Roman" w:hAnsi="Times New Roman" w:cs="Times New Roman"/>
          <w:i/>
          <w:iCs/>
          <w:color w:val="auto"/>
          <w:sz w:val="24"/>
          <w:szCs w:val="24"/>
        </w:rPr>
      </w:pPr>
      <w:r w:rsidRPr="00C94F02">
        <w:rPr>
          <w:rFonts w:ascii="Times New Roman" w:hAnsi="Times New Roman" w:cs="Times New Roman"/>
          <w:i/>
          <w:iCs/>
          <w:color w:val="auto"/>
          <w:sz w:val="24"/>
          <w:szCs w:val="24"/>
        </w:rPr>
        <w:t>International Benchmarking: Lessons from Latvia, Lithuania, Ireland, and Sweden</w:t>
      </w:r>
    </w:p>
    <w:p w14:paraId="0690FFF2" w14:textId="77777777" w:rsidR="00C94F02" w:rsidRPr="00C94F02" w:rsidRDefault="00C94F02" w:rsidP="00C94F02">
      <w:pPr>
        <w:spacing w:after="0" w:line="240" w:lineRule="auto"/>
      </w:pPr>
    </w:p>
    <w:p w14:paraId="7AD294BF" w14:textId="03B7A389"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Our engagement with peer supervisory authorities across Europe has been instructive. Latvia</w:t>
      </w:r>
      <w:r>
        <w:rPr>
          <w:rFonts w:ascii="Times New Roman" w:hAnsi="Times New Roman" w:cs="Times New Roman"/>
          <w:sz w:val="24"/>
          <w:szCs w:val="24"/>
        </w:rPr>
        <w:t>’</w:t>
      </w:r>
      <w:r w:rsidRPr="00C94F02">
        <w:rPr>
          <w:rFonts w:ascii="Times New Roman" w:hAnsi="Times New Roman" w:cs="Times New Roman"/>
          <w:sz w:val="24"/>
          <w:szCs w:val="24"/>
        </w:rPr>
        <w:t>s Insolvency Control Service (ICS), overseeing more than 2,100 active proceedings and 131 practitioners, operates a five-tier risk-based supervisory model that assigns inspection intensity objectively according to risk criteria rather than discretion. Lithuania</w:t>
      </w:r>
      <w:r>
        <w:rPr>
          <w:rFonts w:ascii="Times New Roman" w:hAnsi="Times New Roman" w:cs="Times New Roman"/>
          <w:sz w:val="24"/>
          <w:szCs w:val="24"/>
        </w:rPr>
        <w:t>’</w:t>
      </w:r>
      <w:r w:rsidRPr="00C94F02">
        <w:rPr>
          <w:rFonts w:ascii="Times New Roman" w:hAnsi="Times New Roman" w:cs="Times New Roman"/>
          <w:sz w:val="24"/>
          <w:szCs w:val="24"/>
        </w:rPr>
        <w:t>s AVNT applies a similarly structured approach, with comprehensive sanctioning powers, and saw complaints against trustees increase by 60% between 2024 and 2025, a figure that illustrates both growing creditor awareness and the value of accessible complaint mechanisms.</w:t>
      </w:r>
    </w:p>
    <w:p w14:paraId="37097039" w14:textId="77777777" w:rsidR="00C94F02" w:rsidRPr="00C94F02" w:rsidRDefault="00C94F02" w:rsidP="00C94F02">
      <w:pPr>
        <w:spacing w:after="0" w:line="240" w:lineRule="auto"/>
        <w:jc w:val="both"/>
        <w:rPr>
          <w:rFonts w:ascii="Times New Roman" w:hAnsi="Times New Roman" w:cs="Times New Roman"/>
          <w:sz w:val="24"/>
          <w:szCs w:val="24"/>
        </w:rPr>
      </w:pPr>
    </w:p>
    <w:p w14:paraId="7BA166F5" w14:textId="0023100E"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Ireland</w:t>
      </w:r>
      <w:r>
        <w:rPr>
          <w:rFonts w:ascii="Times New Roman" w:hAnsi="Times New Roman" w:cs="Times New Roman"/>
          <w:sz w:val="24"/>
          <w:szCs w:val="24"/>
        </w:rPr>
        <w:t>’</w:t>
      </w:r>
      <w:r w:rsidRPr="00C94F02">
        <w:rPr>
          <w:rFonts w:ascii="Times New Roman" w:hAnsi="Times New Roman" w:cs="Times New Roman"/>
          <w:sz w:val="24"/>
          <w:szCs w:val="24"/>
        </w:rPr>
        <w:t>s Corporate Enforcement Authority (CEA) provides perhaps the most compelling model for consolidation: supervision, preliminary investigation, and insolvency administration are integrated within a single independent statutory body, affording it forensic investigative powers — including search and seizure — and the ability to apply for directors</w:t>
      </w:r>
      <w:r>
        <w:rPr>
          <w:rFonts w:ascii="Times New Roman" w:hAnsi="Times New Roman" w:cs="Times New Roman"/>
          <w:sz w:val="24"/>
          <w:szCs w:val="24"/>
        </w:rPr>
        <w:t>’</w:t>
      </w:r>
      <w:r w:rsidRPr="00C94F02">
        <w:rPr>
          <w:rFonts w:ascii="Times New Roman" w:hAnsi="Times New Roman" w:cs="Times New Roman"/>
          <w:sz w:val="24"/>
          <w:szCs w:val="24"/>
        </w:rPr>
        <w:t xml:space="preserve"> disqualification directly. Estonia</w:t>
      </w:r>
      <w:r>
        <w:rPr>
          <w:rFonts w:ascii="Times New Roman" w:hAnsi="Times New Roman" w:cs="Times New Roman"/>
          <w:sz w:val="24"/>
          <w:szCs w:val="24"/>
        </w:rPr>
        <w:t>’</w:t>
      </w:r>
      <w:r w:rsidRPr="00C94F02">
        <w:rPr>
          <w:rFonts w:ascii="Times New Roman" w:hAnsi="Times New Roman" w:cs="Times New Roman"/>
          <w:sz w:val="24"/>
          <w:szCs w:val="24"/>
        </w:rPr>
        <w:t>s current ecosystem, by contrast, distributes equivalent functions across the Business Register, the courts, the Service, the police, the prosecution service, and professional bodies, with consequent delays in information sharing and enforcement response.</w:t>
      </w:r>
    </w:p>
    <w:p w14:paraId="5C2B984A" w14:textId="77777777" w:rsidR="00C94F02" w:rsidRPr="00C94F02" w:rsidRDefault="00C94F02" w:rsidP="00C94F02">
      <w:pPr>
        <w:spacing w:after="0" w:line="240" w:lineRule="auto"/>
        <w:jc w:val="both"/>
        <w:rPr>
          <w:rFonts w:ascii="Times New Roman" w:hAnsi="Times New Roman" w:cs="Times New Roman"/>
          <w:sz w:val="24"/>
          <w:szCs w:val="24"/>
        </w:rPr>
      </w:pPr>
    </w:p>
    <w:p w14:paraId="79F7C3B4" w14:textId="0F7E395C"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Sweden</w:t>
      </w:r>
      <w:r>
        <w:rPr>
          <w:rFonts w:ascii="Times New Roman" w:hAnsi="Times New Roman" w:cs="Times New Roman"/>
          <w:sz w:val="24"/>
          <w:szCs w:val="24"/>
        </w:rPr>
        <w:t>’</w:t>
      </w:r>
      <w:r w:rsidRPr="00C94F02">
        <w:rPr>
          <w:rFonts w:ascii="Times New Roman" w:hAnsi="Times New Roman" w:cs="Times New Roman"/>
          <w:sz w:val="24"/>
          <w:szCs w:val="24"/>
        </w:rPr>
        <w:t>s reform, entering into force on 1 July 2026, is the most ambitious restructuring of its insolvency architecture since the Konkurslagen came into force in 1987. It transfers from courts to the enforcement and supervisory authority (Kronofogden) the approval of distribution proposals, the determination of trustee remuneration, and the claims verification procedure, while concentrating insolvency jurisdiction in twelve specialist courts. A centralised IT platform will underpin the reformed system, with Kronofogden as the data controller.</w:t>
      </w:r>
    </w:p>
    <w:p w14:paraId="786B448D" w14:textId="77777777" w:rsidR="00C94F02" w:rsidRPr="00C94F02" w:rsidRDefault="00C94F02" w:rsidP="00C94F02">
      <w:pPr>
        <w:spacing w:after="0" w:line="240" w:lineRule="auto"/>
        <w:jc w:val="both"/>
        <w:rPr>
          <w:rFonts w:ascii="Times New Roman" w:hAnsi="Times New Roman" w:cs="Times New Roman"/>
          <w:sz w:val="24"/>
          <w:szCs w:val="24"/>
        </w:rPr>
      </w:pPr>
    </w:p>
    <w:p w14:paraId="311BD697" w14:textId="77777777" w:rsidR="00C94F02" w:rsidRPr="00C94F02" w:rsidRDefault="00C94F02" w:rsidP="00C94F02">
      <w:pPr>
        <w:pStyle w:val="Heading2"/>
        <w:spacing w:before="0" w:after="0" w:line="240" w:lineRule="auto"/>
        <w:rPr>
          <w:rFonts w:ascii="Times New Roman" w:hAnsi="Times New Roman" w:cs="Times New Roman"/>
          <w:i/>
          <w:iCs/>
          <w:color w:val="auto"/>
          <w:sz w:val="24"/>
          <w:szCs w:val="24"/>
        </w:rPr>
      </w:pPr>
      <w:r w:rsidRPr="00C94F02">
        <w:rPr>
          <w:rFonts w:ascii="Times New Roman" w:hAnsi="Times New Roman" w:cs="Times New Roman"/>
          <w:i/>
          <w:iCs/>
          <w:color w:val="auto"/>
          <w:sz w:val="24"/>
          <w:szCs w:val="24"/>
        </w:rPr>
        <w:t>Proposals for Legislative and Institutional Reform</w:t>
      </w:r>
    </w:p>
    <w:p w14:paraId="14041E9F" w14:textId="4631D606"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In our letter of 21 April 2026 to the Minister of Justice and Digital Affairs, the Service reiterated five proposals that it regards as prerequisites for a creditor-protective, efficient, and internationally credible insolvency framework in Estonia.</w:t>
      </w:r>
    </w:p>
    <w:p w14:paraId="00EC8750" w14:textId="77777777" w:rsidR="00C94F02" w:rsidRPr="00C94F02" w:rsidRDefault="00C94F02" w:rsidP="00C94F02">
      <w:pPr>
        <w:spacing w:after="0" w:line="240" w:lineRule="auto"/>
        <w:jc w:val="both"/>
        <w:rPr>
          <w:rFonts w:ascii="Times New Roman" w:hAnsi="Times New Roman" w:cs="Times New Roman"/>
          <w:sz w:val="24"/>
          <w:szCs w:val="24"/>
        </w:rPr>
      </w:pPr>
    </w:p>
    <w:p w14:paraId="7D178357" w14:textId="0D0FC775"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First, the Service</w:t>
      </w:r>
      <w:r>
        <w:rPr>
          <w:rFonts w:ascii="Times New Roman" w:hAnsi="Times New Roman" w:cs="Times New Roman"/>
          <w:sz w:val="24"/>
          <w:szCs w:val="24"/>
        </w:rPr>
        <w:t>’</w:t>
      </w:r>
      <w:r w:rsidRPr="00C94F02">
        <w:rPr>
          <w:rFonts w:ascii="Times New Roman" w:hAnsi="Times New Roman" w:cs="Times New Roman"/>
          <w:sz w:val="24"/>
          <w:szCs w:val="24"/>
        </w:rPr>
        <w:t>s powers must be strengthened to encompass supervisory jurisdiction over liquidators and persistently insolvent entities, together with the legal and technical instruments necessary to pursue directors and associates who have caused harm through serious management failures.</w:t>
      </w:r>
    </w:p>
    <w:p w14:paraId="31637A3F" w14:textId="77777777" w:rsidR="00C94F02" w:rsidRPr="00C94F02" w:rsidRDefault="00C94F02" w:rsidP="00C94F02">
      <w:pPr>
        <w:spacing w:after="0" w:line="240" w:lineRule="auto"/>
        <w:jc w:val="both"/>
        <w:rPr>
          <w:rFonts w:ascii="Times New Roman" w:hAnsi="Times New Roman" w:cs="Times New Roman"/>
          <w:sz w:val="24"/>
          <w:szCs w:val="24"/>
        </w:rPr>
      </w:pPr>
    </w:p>
    <w:p w14:paraId="0A1688AF" w14:textId="50557E57"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Second, a unified state IT system for all insolvency cases must be developed — one that enables real-time information exchange between participants, administrators, and supervisory organs, and that meets EU requirements for cross-border proceedings and data protection.</w:t>
      </w:r>
    </w:p>
    <w:p w14:paraId="7ADCC1AE" w14:textId="77777777" w:rsidR="00C94F02" w:rsidRPr="00C94F02" w:rsidRDefault="00C94F02" w:rsidP="00C94F02">
      <w:pPr>
        <w:spacing w:after="0" w:line="240" w:lineRule="auto"/>
        <w:jc w:val="both"/>
        <w:rPr>
          <w:rFonts w:ascii="Times New Roman" w:hAnsi="Times New Roman" w:cs="Times New Roman"/>
          <w:sz w:val="24"/>
          <w:szCs w:val="24"/>
        </w:rPr>
      </w:pPr>
    </w:p>
    <w:p w14:paraId="1D866097" w14:textId="01FF324A"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Third, the Service must be granted the power to apply directly for interim management disqualification orders, and the automatic mutual recognition of disqualification orders issued in other Member States should be ensured.</w:t>
      </w:r>
    </w:p>
    <w:p w14:paraId="363900F3" w14:textId="77777777" w:rsidR="00C94F02" w:rsidRPr="00C94F02" w:rsidRDefault="00C94F02" w:rsidP="00C94F02">
      <w:pPr>
        <w:spacing w:after="0" w:line="240" w:lineRule="auto"/>
        <w:jc w:val="both"/>
        <w:rPr>
          <w:rFonts w:ascii="Times New Roman" w:hAnsi="Times New Roman" w:cs="Times New Roman"/>
          <w:sz w:val="24"/>
          <w:szCs w:val="24"/>
        </w:rPr>
      </w:pPr>
    </w:p>
    <w:p w14:paraId="4734517A" w14:textId="43E6295F"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Fourth, the responsible minister should establish a binding code of conduct, ethical standards, and conflict-of-interest rules applicable to all persons fulfilling public-law functions in the insolvency field — trustees, restructuring advisers, liquidators, and debt counsellors alike.</w:t>
      </w:r>
    </w:p>
    <w:p w14:paraId="6FCDE9BD" w14:textId="77777777" w:rsidR="00C94F02" w:rsidRPr="00C94F02" w:rsidRDefault="00C94F02" w:rsidP="00C94F02">
      <w:pPr>
        <w:spacing w:after="0" w:line="240" w:lineRule="auto"/>
        <w:jc w:val="both"/>
        <w:rPr>
          <w:rFonts w:ascii="Times New Roman" w:hAnsi="Times New Roman" w:cs="Times New Roman"/>
          <w:sz w:val="24"/>
          <w:szCs w:val="24"/>
        </w:rPr>
      </w:pPr>
    </w:p>
    <w:p w14:paraId="3D26A03E" w14:textId="498CFBC2"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Fifth, and most fundamentally, Estonia should move towards a single, unified insolvency supervisory authority competent to examine, licence, supervise, and — where necessary — sanction all practitioners across all forms of insolvency proceeding. The era of self-regulation and professional peer review within fragmented bodies has demonstrably failed to protect creditors.</w:t>
      </w:r>
    </w:p>
    <w:p w14:paraId="40A3244F" w14:textId="77777777" w:rsidR="00C94F02" w:rsidRPr="00C94F02" w:rsidRDefault="00C94F02" w:rsidP="00C94F02">
      <w:pPr>
        <w:spacing w:after="0" w:line="240" w:lineRule="auto"/>
        <w:jc w:val="both"/>
        <w:rPr>
          <w:rFonts w:ascii="Times New Roman" w:hAnsi="Times New Roman" w:cs="Times New Roman"/>
          <w:sz w:val="24"/>
          <w:szCs w:val="24"/>
        </w:rPr>
      </w:pPr>
    </w:p>
    <w:p w14:paraId="0DDE4C15" w14:textId="77777777" w:rsidR="00C94F02" w:rsidRPr="00C94F02" w:rsidRDefault="00C94F02" w:rsidP="00C94F02">
      <w:pPr>
        <w:pStyle w:val="Heading2"/>
        <w:spacing w:before="0" w:after="0" w:line="240" w:lineRule="auto"/>
        <w:rPr>
          <w:rFonts w:ascii="Times New Roman" w:hAnsi="Times New Roman" w:cs="Times New Roman"/>
          <w:i/>
          <w:iCs/>
          <w:color w:val="auto"/>
          <w:sz w:val="24"/>
          <w:szCs w:val="24"/>
        </w:rPr>
      </w:pPr>
      <w:r w:rsidRPr="00C94F02">
        <w:rPr>
          <w:rFonts w:ascii="Times New Roman" w:hAnsi="Times New Roman" w:cs="Times New Roman"/>
          <w:i/>
          <w:iCs/>
          <w:color w:val="auto"/>
          <w:sz w:val="24"/>
          <w:szCs w:val="24"/>
        </w:rPr>
        <w:t>Concluding Observations</w:t>
      </w:r>
    </w:p>
    <w:p w14:paraId="28806F5A" w14:textId="77777777" w:rsidR="00C94F02" w:rsidRDefault="00C94F02" w:rsidP="00C94F02">
      <w:pPr>
        <w:spacing w:after="0" w:line="240" w:lineRule="auto"/>
        <w:jc w:val="both"/>
        <w:rPr>
          <w:rFonts w:ascii="Times New Roman" w:hAnsi="Times New Roman" w:cs="Times New Roman"/>
          <w:sz w:val="24"/>
          <w:szCs w:val="24"/>
        </w:rPr>
      </w:pPr>
    </w:p>
    <w:p w14:paraId="24198823" w14:textId="623CA483" w:rsidR="00C94F02" w:rsidRDefault="00C94F02" w:rsidP="00C94F02">
      <w:pPr>
        <w:spacing w:after="0" w:line="240" w:lineRule="auto"/>
        <w:jc w:val="both"/>
        <w:rPr>
          <w:rFonts w:ascii="Times New Roman" w:hAnsi="Times New Roman" w:cs="Times New Roman"/>
          <w:sz w:val="24"/>
          <w:szCs w:val="24"/>
        </w:rPr>
      </w:pPr>
      <w:r w:rsidRPr="00C94F02">
        <w:rPr>
          <w:rFonts w:ascii="Times New Roman" w:hAnsi="Times New Roman" w:cs="Times New Roman"/>
          <w:sz w:val="24"/>
          <w:szCs w:val="24"/>
        </w:rPr>
        <w:t>Estonia</w:t>
      </w:r>
      <w:r>
        <w:rPr>
          <w:rFonts w:ascii="Times New Roman" w:hAnsi="Times New Roman" w:cs="Times New Roman"/>
          <w:sz w:val="24"/>
          <w:szCs w:val="24"/>
        </w:rPr>
        <w:t>’</w:t>
      </w:r>
      <w:r w:rsidRPr="00C94F02">
        <w:rPr>
          <w:rFonts w:ascii="Times New Roman" w:hAnsi="Times New Roman" w:cs="Times New Roman"/>
          <w:sz w:val="24"/>
          <w:szCs w:val="24"/>
        </w:rPr>
        <w:t>s insolvency system remains, at its core, debtor-centric. Proceedings are overwhelmingly paper-based and creditor-unfriendly. The current regulatory framework is, in the Service</w:t>
      </w:r>
      <w:r>
        <w:rPr>
          <w:rFonts w:ascii="Times New Roman" w:hAnsi="Times New Roman" w:cs="Times New Roman"/>
          <w:sz w:val="24"/>
          <w:szCs w:val="24"/>
        </w:rPr>
        <w:t>’</w:t>
      </w:r>
      <w:r w:rsidRPr="00C94F02">
        <w:rPr>
          <w:rFonts w:ascii="Times New Roman" w:hAnsi="Times New Roman" w:cs="Times New Roman"/>
          <w:sz w:val="24"/>
          <w:szCs w:val="24"/>
        </w:rPr>
        <w:t>s assessment, excessively lenient towards debtors and their associates throughout the entire lifecycle of a legal person, regardless of the gravity of the management failures identified. Creditors — including public-body creditors — have, over 34 years, lost confidence in insolvency proceedings as a meaningful avenue of redress.</w:t>
      </w:r>
    </w:p>
    <w:p w14:paraId="4B80271B" w14:textId="77777777" w:rsidR="00C94F02" w:rsidRPr="00C94F02" w:rsidRDefault="00C94F02" w:rsidP="00C94F02">
      <w:pPr>
        <w:spacing w:after="0" w:line="240" w:lineRule="auto"/>
        <w:jc w:val="both"/>
        <w:rPr>
          <w:rFonts w:ascii="Times New Roman" w:hAnsi="Times New Roman" w:cs="Times New Roman"/>
          <w:sz w:val="24"/>
          <w:szCs w:val="24"/>
        </w:rPr>
      </w:pPr>
    </w:p>
    <w:p w14:paraId="590A5EBB" w14:textId="02887DA3" w:rsidR="002A672B" w:rsidRPr="00C94F02" w:rsidRDefault="00C94F02" w:rsidP="00C94F02">
      <w:pPr>
        <w:spacing w:after="0" w:line="240" w:lineRule="auto"/>
        <w:jc w:val="both"/>
        <w:rPr>
          <w:rFonts w:asciiTheme="majorBidi" w:hAnsiTheme="majorBidi" w:cstheme="majorBidi"/>
          <w:sz w:val="24"/>
          <w:szCs w:val="24"/>
          <w:lang w:val="en-GB"/>
        </w:rPr>
      </w:pPr>
      <w:r w:rsidRPr="00C94F02">
        <w:rPr>
          <w:rFonts w:ascii="Times New Roman" w:hAnsi="Times New Roman" w:cs="Times New Roman"/>
          <w:sz w:val="24"/>
          <w:szCs w:val="24"/>
        </w:rPr>
        <w:t>Money and business know no borders; insolvency law, tax law, administrative law, and criminal law still do. If Estonia is to protect its reputation as a trustworthy business environment — and the Service submits that doing so is a matter of internal security, not merely commercial policy — the legislature must act swiftly, decisively, and with reference to the best European practice already available for its consideration.</w:t>
      </w:r>
    </w:p>
    <w:sectPr w:rsidR="002A672B" w:rsidRPr="00C94F02" w:rsidSect="002A672B">
      <w:headerReference w:type="default" r:id="rId8"/>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51A96" w14:textId="77777777" w:rsidR="00A97300" w:rsidRDefault="00A97300" w:rsidP="00300EF6">
      <w:pPr>
        <w:spacing w:after="0" w:line="240" w:lineRule="auto"/>
      </w:pPr>
      <w:r>
        <w:separator/>
      </w:r>
    </w:p>
  </w:endnote>
  <w:endnote w:type="continuationSeparator" w:id="0">
    <w:p w14:paraId="1404D19E" w14:textId="77777777" w:rsidR="00A97300" w:rsidRDefault="00A97300" w:rsidP="0030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sGotT">
    <w:altName w:val="Calibri"/>
    <w:charset w:val="00"/>
    <w:family w:val="auto"/>
    <w:pitch w:val="variable"/>
    <w:sig w:usb0="800000AF" w:usb1="0000204A" w:usb2="00000000" w:usb3="00000000" w:csb0="00000011"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8B2F0" w14:textId="77777777" w:rsidR="00A97300" w:rsidRDefault="00A97300" w:rsidP="00300EF6">
      <w:pPr>
        <w:spacing w:after="0" w:line="240" w:lineRule="auto"/>
      </w:pPr>
      <w:r>
        <w:separator/>
      </w:r>
    </w:p>
  </w:footnote>
  <w:footnote w:type="continuationSeparator" w:id="0">
    <w:p w14:paraId="3524DEF3" w14:textId="77777777" w:rsidR="00A97300" w:rsidRDefault="00A97300" w:rsidP="00300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3ACF" w14:textId="7DB57711" w:rsidR="00771B04" w:rsidRPr="00771B04" w:rsidRDefault="00771B04" w:rsidP="00771B04">
    <w:pPr>
      <w:pStyle w:val="Header"/>
      <w:rPr>
        <w:rFonts w:ascii="Arial" w:hAnsi="Arial" w:cs="Arial"/>
        <w:b/>
        <w:sz w:val="20"/>
        <w:lang w:val="en-GB"/>
      </w:rPr>
    </w:pPr>
    <w:r w:rsidRPr="00771B04">
      <w:rPr>
        <w:rFonts w:ascii="Arial" w:hAnsi="Arial" w:cs="Arial"/>
        <w:b/>
        <w:sz w:val="20"/>
        <w:lang w:val="en-GB"/>
      </w:rPr>
      <w:t>Inside Story (</w:t>
    </w:r>
    <w:r w:rsidR="00C94F02">
      <w:rPr>
        <w:rFonts w:ascii="Arial" w:hAnsi="Arial" w:cs="Arial"/>
        <w:b/>
        <w:sz w:val="20"/>
        <w:lang w:val="en-GB"/>
      </w:rPr>
      <w:t>May</w:t>
    </w:r>
    <w:r w:rsidRPr="00771B04">
      <w:rPr>
        <w:rFonts w:ascii="Arial" w:hAnsi="Arial" w:cs="Arial"/>
        <w:b/>
        <w:sz w:val="20"/>
        <w:lang w:val="en-GB"/>
      </w:rPr>
      <w:t xml:space="preserve"> 2026)</w:t>
    </w:r>
  </w:p>
  <w:p w14:paraId="720E5975" w14:textId="7DDBC0A2" w:rsidR="00771B04" w:rsidRPr="00771B04" w:rsidRDefault="00C94F02">
    <w:pPr>
      <w:pStyle w:val="Header"/>
      <w:rPr>
        <w:lang w:val="en-GB"/>
      </w:rPr>
    </w:pPr>
    <w:r>
      <w:rPr>
        <w:rFonts w:ascii="Arial" w:hAnsi="Arial" w:cs="Arial"/>
        <w:b/>
        <w:sz w:val="20"/>
        <w:lang w:val="en-GB"/>
      </w:rPr>
      <w:t xml:space="preserve">Signe </w:t>
    </w:r>
    <w:proofErr w:type="spellStart"/>
    <w:r>
      <w:rPr>
        <w:rFonts w:ascii="Arial" w:hAnsi="Arial" w:cs="Arial"/>
        <w:b/>
        <w:sz w:val="20"/>
        <w:lang w:val="en-GB"/>
      </w:rPr>
      <w:t>Viimsalu</w:t>
    </w:r>
    <w:proofErr w:type="spellEnd"/>
    <w:r>
      <w:rPr>
        <w:rFonts w:ascii="Arial" w:hAnsi="Arial" w:cs="Arial"/>
        <w:b/>
        <w:sz w:val="20"/>
        <w:lang w:val="en-GB"/>
      </w:rPr>
      <w:t xml:space="preserve"> </w:t>
    </w:r>
    <w:r w:rsidR="00CA4BC8">
      <w:rPr>
        <w:rFonts w:ascii="Arial" w:hAnsi="Arial" w:cs="Arial"/>
        <w:b/>
        <w:sz w:val="20"/>
        <w:lang w:val="en-GB"/>
      </w:rPr>
      <w:t>(E</w:t>
    </w:r>
    <w:r>
      <w:rPr>
        <w:rFonts w:ascii="Arial" w:hAnsi="Arial" w:cs="Arial"/>
        <w:b/>
        <w:sz w:val="20"/>
        <w:lang w:val="en-GB"/>
      </w:rPr>
      <w:t>E</w:t>
    </w:r>
    <w:r w:rsidR="00CA4BC8">
      <w:rPr>
        <w:rFonts w:ascii="Arial" w:hAnsi="Arial" w:cs="Arial"/>
        <w:b/>
        <w:sz w:val="20"/>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7106D"/>
    <w:multiLevelType w:val="hybridMultilevel"/>
    <w:tmpl w:val="99EEDC6C"/>
    <w:lvl w:ilvl="0" w:tplc="295ABAAA">
      <w:start w:val="27"/>
      <w:numFmt w:val="bullet"/>
      <w:lvlText w:val="-"/>
      <w:lvlJc w:val="left"/>
      <w:pPr>
        <w:ind w:left="720" w:hanging="360"/>
      </w:pPr>
      <w:rPr>
        <w:rFonts w:ascii="NewsGotT" w:eastAsiaTheme="minorHAnsi" w:hAnsi="NewsGotT" w:cs="Times New Roman" w:hint="default"/>
        <w:sz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2B"/>
    <w:rsid w:val="00142B8A"/>
    <w:rsid w:val="002A672B"/>
    <w:rsid w:val="00300EF6"/>
    <w:rsid w:val="003206AD"/>
    <w:rsid w:val="003D38CA"/>
    <w:rsid w:val="00470FB3"/>
    <w:rsid w:val="004A3AC1"/>
    <w:rsid w:val="00734413"/>
    <w:rsid w:val="00771B04"/>
    <w:rsid w:val="009642A6"/>
    <w:rsid w:val="00A3355D"/>
    <w:rsid w:val="00A97300"/>
    <w:rsid w:val="00C94F02"/>
    <w:rsid w:val="00CA4BC8"/>
    <w:rsid w:val="00E4063F"/>
    <w:rsid w:val="00FD2453"/>
  </w:rsids>
  <m:mathPr>
    <m:mathFont m:val="Cambria Math"/>
    <m:brkBin m:val="before"/>
    <m:brkBinSub m:val="--"/>
    <m:smallFrac m:val="0"/>
    <m:dispDef/>
    <m:lMargin m:val="0"/>
    <m:rMargin m:val="0"/>
    <m:defJc m:val="centerGroup"/>
    <m:wrapIndent m:val="1440"/>
    <m:intLim m:val="subSup"/>
    <m:naryLim m:val="undOvr"/>
  </m:mathPr>
  <w:themeFontLang w:val="pt-P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7C0A"/>
  <w15:chartTrackingRefBased/>
  <w15:docId w15:val="{71FD7D31-008E-4408-A678-ABE03C26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6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6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72B"/>
    <w:rPr>
      <w:rFonts w:eastAsiaTheme="majorEastAsia" w:cstheme="majorBidi"/>
      <w:color w:val="272727" w:themeColor="text1" w:themeTint="D8"/>
    </w:rPr>
  </w:style>
  <w:style w:type="paragraph" w:styleId="Title">
    <w:name w:val="Title"/>
    <w:basedOn w:val="Normal"/>
    <w:next w:val="Normal"/>
    <w:link w:val="TitleChar"/>
    <w:uiPriority w:val="10"/>
    <w:qFormat/>
    <w:rsid w:val="002A6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72B"/>
    <w:pPr>
      <w:spacing w:before="160"/>
      <w:jc w:val="center"/>
    </w:pPr>
    <w:rPr>
      <w:i/>
      <w:iCs/>
      <w:color w:val="404040" w:themeColor="text1" w:themeTint="BF"/>
    </w:rPr>
  </w:style>
  <w:style w:type="character" w:customStyle="1" w:styleId="QuoteChar">
    <w:name w:val="Quote Char"/>
    <w:basedOn w:val="DefaultParagraphFont"/>
    <w:link w:val="Quote"/>
    <w:uiPriority w:val="29"/>
    <w:rsid w:val="002A672B"/>
    <w:rPr>
      <w:i/>
      <w:iCs/>
      <w:color w:val="404040" w:themeColor="text1" w:themeTint="BF"/>
    </w:rPr>
  </w:style>
  <w:style w:type="paragraph" w:styleId="ListParagraph">
    <w:name w:val="List Paragraph"/>
    <w:basedOn w:val="Normal"/>
    <w:link w:val="ListParagraphChar"/>
    <w:uiPriority w:val="34"/>
    <w:qFormat/>
    <w:rsid w:val="002A672B"/>
    <w:pPr>
      <w:ind w:left="720"/>
      <w:contextualSpacing/>
    </w:pPr>
  </w:style>
  <w:style w:type="character" w:styleId="IntenseEmphasis">
    <w:name w:val="Intense Emphasis"/>
    <w:basedOn w:val="DefaultParagraphFont"/>
    <w:uiPriority w:val="21"/>
    <w:qFormat/>
    <w:rsid w:val="002A672B"/>
    <w:rPr>
      <w:i/>
      <w:iCs/>
      <w:color w:val="0F4761" w:themeColor="accent1" w:themeShade="BF"/>
    </w:rPr>
  </w:style>
  <w:style w:type="paragraph" w:styleId="IntenseQuote">
    <w:name w:val="Intense Quote"/>
    <w:basedOn w:val="Normal"/>
    <w:next w:val="Normal"/>
    <w:link w:val="IntenseQuoteChar"/>
    <w:uiPriority w:val="30"/>
    <w:qFormat/>
    <w:rsid w:val="002A6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72B"/>
    <w:rPr>
      <w:i/>
      <w:iCs/>
      <w:color w:val="0F4761" w:themeColor="accent1" w:themeShade="BF"/>
    </w:rPr>
  </w:style>
  <w:style w:type="character" w:styleId="IntenseReference">
    <w:name w:val="Intense Reference"/>
    <w:basedOn w:val="DefaultParagraphFont"/>
    <w:uiPriority w:val="32"/>
    <w:qFormat/>
    <w:rsid w:val="002A672B"/>
    <w:rPr>
      <w:b/>
      <w:bCs/>
      <w:smallCaps/>
      <w:color w:val="0F4761" w:themeColor="accent1" w:themeShade="BF"/>
      <w:spacing w:val="5"/>
    </w:rPr>
  </w:style>
  <w:style w:type="paragraph" w:styleId="NoSpacing">
    <w:name w:val="No Spacing"/>
    <w:uiPriority w:val="1"/>
    <w:qFormat/>
    <w:rsid w:val="002A672B"/>
    <w:pPr>
      <w:spacing w:after="0" w:line="240" w:lineRule="auto"/>
    </w:pPr>
    <w:rPr>
      <w:kern w:val="0"/>
      <w:lang w:val="en-US" w:bidi="ar-SA"/>
      <w14:ligatures w14:val="none"/>
    </w:rPr>
  </w:style>
  <w:style w:type="paragraph" w:styleId="FootnoteText">
    <w:name w:val="footnote text"/>
    <w:basedOn w:val="Normal"/>
    <w:link w:val="FootnoteTextChar"/>
    <w:uiPriority w:val="99"/>
    <w:unhideWhenUsed/>
    <w:rsid w:val="00300EF6"/>
    <w:pPr>
      <w:spacing w:after="0" w:line="240" w:lineRule="auto"/>
    </w:pPr>
    <w:rPr>
      <w:sz w:val="20"/>
      <w:szCs w:val="20"/>
    </w:rPr>
  </w:style>
  <w:style w:type="character" w:customStyle="1" w:styleId="FootnoteTextChar">
    <w:name w:val="Footnote Text Char"/>
    <w:basedOn w:val="DefaultParagraphFont"/>
    <w:link w:val="FootnoteText"/>
    <w:uiPriority w:val="99"/>
    <w:rsid w:val="00300EF6"/>
    <w:rPr>
      <w:sz w:val="20"/>
      <w:szCs w:val="20"/>
    </w:rPr>
  </w:style>
  <w:style w:type="character" w:styleId="FootnoteReference">
    <w:name w:val="footnote reference"/>
    <w:basedOn w:val="DefaultParagraphFont"/>
    <w:uiPriority w:val="99"/>
    <w:semiHidden/>
    <w:unhideWhenUsed/>
    <w:rsid w:val="00300EF6"/>
    <w:rPr>
      <w:vertAlign w:val="superscript"/>
    </w:rPr>
  </w:style>
  <w:style w:type="character" w:customStyle="1" w:styleId="ListParagraphChar">
    <w:name w:val="List Paragraph Char"/>
    <w:basedOn w:val="DefaultParagraphFont"/>
    <w:link w:val="ListParagraph"/>
    <w:uiPriority w:val="34"/>
    <w:rsid w:val="003D38CA"/>
  </w:style>
  <w:style w:type="character" w:customStyle="1" w:styleId="jlqj4b">
    <w:name w:val="jlqj4b"/>
    <w:basedOn w:val="DefaultParagraphFont"/>
    <w:rsid w:val="00E4063F"/>
  </w:style>
  <w:style w:type="character" w:customStyle="1" w:styleId="titel">
    <w:name w:val="titel"/>
    <w:basedOn w:val="DefaultParagraphFont"/>
    <w:rsid w:val="00FD2453"/>
  </w:style>
  <w:style w:type="character" w:styleId="Emphasis">
    <w:name w:val="Emphasis"/>
    <w:basedOn w:val="DefaultParagraphFont"/>
    <w:uiPriority w:val="20"/>
    <w:qFormat/>
    <w:rsid w:val="00FD2453"/>
    <w:rPr>
      <w:i/>
      <w:iCs/>
    </w:rPr>
  </w:style>
  <w:style w:type="character" w:customStyle="1" w:styleId="acopre">
    <w:name w:val="acopre"/>
    <w:basedOn w:val="DefaultParagraphFont"/>
    <w:rsid w:val="00771B04"/>
  </w:style>
  <w:style w:type="paragraph" w:styleId="Header">
    <w:name w:val="header"/>
    <w:basedOn w:val="Normal"/>
    <w:link w:val="HeaderChar"/>
    <w:uiPriority w:val="99"/>
    <w:unhideWhenUsed/>
    <w:rsid w:val="00771B04"/>
    <w:pPr>
      <w:tabs>
        <w:tab w:val="center" w:pos="4252"/>
        <w:tab w:val="right" w:pos="8504"/>
      </w:tabs>
      <w:spacing w:after="0" w:line="240" w:lineRule="auto"/>
    </w:pPr>
  </w:style>
  <w:style w:type="character" w:customStyle="1" w:styleId="HeaderChar">
    <w:name w:val="Header Char"/>
    <w:basedOn w:val="DefaultParagraphFont"/>
    <w:link w:val="Header"/>
    <w:uiPriority w:val="99"/>
    <w:rsid w:val="00771B04"/>
  </w:style>
  <w:style w:type="paragraph" w:styleId="Footer">
    <w:name w:val="footer"/>
    <w:basedOn w:val="Normal"/>
    <w:link w:val="FooterChar"/>
    <w:uiPriority w:val="99"/>
    <w:unhideWhenUsed/>
    <w:rsid w:val="00771B04"/>
    <w:pPr>
      <w:tabs>
        <w:tab w:val="center" w:pos="4252"/>
        <w:tab w:val="right" w:pos="8504"/>
      </w:tabs>
      <w:spacing w:after="0" w:line="240" w:lineRule="auto"/>
    </w:pPr>
  </w:style>
  <w:style w:type="character" w:customStyle="1" w:styleId="FooterChar">
    <w:name w:val="Footer Char"/>
    <w:basedOn w:val="DefaultParagraphFont"/>
    <w:link w:val="Footer"/>
    <w:uiPriority w:val="99"/>
    <w:rsid w:val="00771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1582</Words>
  <Characters>9020</Characters>
  <Application>Microsoft Office Word</Application>
  <DocSecurity>0</DocSecurity>
  <Lines>75</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 Gonçalves Machado</dc:creator>
  <cp:keywords/>
  <dc:description/>
  <cp:lastModifiedBy>Paul Omar</cp:lastModifiedBy>
  <cp:revision>4</cp:revision>
  <dcterms:created xsi:type="dcterms:W3CDTF">2026-01-15T10:07:00Z</dcterms:created>
  <dcterms:modified xsi:type="dcterms:W3CDTF">2026-05-19T15:19:00Z</dcterms:modified>
</cp:coreProperties>
</file>