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460" w:rsidRPr="00AC4A22" w:rsidRDefault="00BD2193" w:rsidP="00A87168">
      <w:pPr>
        <w:spacing w:line="240" w:lineRule="auto"/>
        <w:jc w:val="center"/>
        <w:rPr>
          <w:rStyle w:val="apple-converted-space"/>
        </w:rPr>
      </w:pPr>
      <w:bookmarkStart w:id="0" w:name="_GoBack"/>
      <w:bookmarkEnd w:id="0"/>
      <w:r w:rsidRPr="00AC4A22">
        <w:rPr>
          <w:rStyle w:val="apple-converted-space"/>
          <w:rFonts w:ascii="Times New Roman" w:hAnsi="Times New Roman" w:cs="Times New Roman"/>
          <w:b/>
          <w:sz w:val="28"/>
          <w:szCs w:val="28"/>
          <w:shd w:val="clear" w:color="auto" w:fill="FFFFFF"/>
        </w:rPr>
        <w:t>THE</w:t>
      </w:r>
      <w:r w:rsidRPr="00AC4A22">
        <w:rPr>
          <w:rFonts w:ascii="Times New Roman" w:hAnsi="Times New Roman" w:cs="Times New Roman"/>
          <w:b/>
          <w:sz w:val="28"/>
          <w:szCs w:val="28"/>
          <w:shd w:val="clear" w:color="auto" w:fill="FFFFFF"/>
        </w:rPr>
        <w:t xml:space="preserve"> PHENOMENON OF CORPORATE DEBT RESTRUCTURING IN INDIA: HOW FAR CAN IT GO TO PREVENT INSOLVENCY</w:t>
      </w:r>
      <w:r>
        <w:rPr>
          <w:rFonts w:ascii="Times New Roman" w:hAnsi="Times New Roman" w:cs="Times New Roman"/>
          <w:b/>
          <w:sz w:val="28"/>
          <w:szCs w:val="28"/>
          <w:shd w:val="clear" w:color="auto" w:fill="FFFFFF"/>
        </w:rPr>
        <w:t>?</w:t>
      </w:r>
    </w:p>
    <w:p w:rsidR="00AC4A22" w:rsidRDefault="004B1BED" w:rsidP="00A87168">
      <w:pPr>
        <w:spacing w:line="240" w:lineRule="auto"/>
        <w:jc w:val="both"/>
        <w:rPr>
          <w:rStyle w:val="apple-converted-space"/>
        </w:rPr>
      </w:pPr>
    </w:p>
    <w:p w:rsidR="00C26514" w:rsidRPr="005F3303" w:rsidRDefault="00BD2193" w:rsidP="00A87168">
      <w:pPr>
        <w:spacing w:line="240" w:lineRule="auto"/>
        <w:jc w:val="both"/>
        <w:rPr>
          <w:rStyle w:val="apple-converted-space"/>
        </w:rPr>
      </w:pPr>
      <w:r w:rsidRPr="005F3303">
        <w:rPr>
          <w:rStyle w:val="apple-converted-space"/>
          <w:rFonts w:ascii="Times New Roman" w:hAnsi="Times New Roman" w:cs="Times New Roman"/>
          <w:b/>
          <w:i/>
          <w:sz w:val="28"/>
          <w:szCs w:val="24"/>
          <w:shd w:val="clear" w:color="auto" w:fill="FFFFFF"/>
        </w:rPr>
        <w:t>Introduction</w:t>
      </w:r>
    </w:p>
    <w:p w:rsidR="002A162A"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sidRPr="005F3303">
        <w:rPr>
          <w:rFonts w:ascii="Times New Roman" w:hAnsi="Times New Roman" w:cs="Times New Roman"/>
          <w:sz w:val="24"/>
          <w:szCs w:val="24"/>
        </w:rPr>
        <w:t xml:space="preserve">The International Monetary Fund recently </w:t>
      </w:r>
      <w:r>
        <w:rPr>
          <w:rFonts w:ascii="Times New Roman" w:hAnsi="Times New Roman" w:cs="Times New Roman"/>
          <w:sz w:val="24"/>
          <w:szCs w:val="24"/>
        </w:rPr>
        <w:t>observed</w:t>
      </w:r>
      <w:r w:rsidRPr="005F3303">
        <w:rPr>
          <w:rFonts w:ascii="Times New Roman" w:hAnsi="Times New Roman" w:cs="Times New Roman"/>
          <w:sz w:val="24"/>
          <w:szCs w:val="24"/>
        </w:rPr>
        <w:t xml:space="preserve"> that Indian corporate entities are among the highest leveraged in the Asia Pacific region. Recent Reserve Bank of India (RBI) data shows that non-performing loans (NPLs) have almost doubled from 2.2% in March 2009 to 4.5% </w:t>
      </w:r>
      <w:r>
        <w:rPr>
          <w:rFonts w:ascii="Times New Roman" w:hAnsi="Times New Roman" w:cs="Times New Roman"/>
          <w:sz w:val="24"/>
          <w:szCs w:val="24"/>
        </w:rPr>
        <w:t xml:space="preserve">in March 2014 </w:t>
      </w:r>
      <w:r w:rsidRPr="005F3303">
        <w:rPr>
          <w:rFonts w:ascii="Times New Roman" w:hAnsi="Times New Roman" w:cs="Times New Roman"/>
          <w:sz w:val="24"/>
          <w:szCs w:val="24"/>
        </w:rPr>
        <w:t xml:space="preserve">of the total loan portfolio of </w:t>
      </w:r>
      <w:r>
        <w:rPr>
          <w:rFonts w:ascii="Times New Roman" w:hAnsi="Times New Roman" w:cs="Times New Roman"/>
          <w:sz w:val="24"/>
          <w:szCs w:val="24"/>
        </w:rPr>
        <w:t xml:space="preserve">the </w:t>
      </w:r>
      <w:r w:rsidRPr="005F3303">
        <w:rPr>
          <w:rFonts w:ascii="Times New Roman" w:hAnsi="Times New Roman" w:cs="Times New Roman"/>
          <w:sz w:val="24"/>
          <w:szCs w:val="24"/>
        </w:rPr>
        <w:t xml:space="preserve">Indian lenders. The rising incidence of NPLs has been </w:t>
      </w:r>
      <w:r>
        <w:rPr>
          <w:rFonts w:ascii="Times New Roman" w:hAnsi="Times New Roman" w:cs="Times New Roman"/>
          <w:sz w:val="24"/>
          <w:szCs w:val="24"/>
        </w:rPr>
        <w:t>continuously on the rise due</w:t>
      </w:r>
      <w:r w:rsidRPr="005F3303">
        <w:rPr>
          <w:rFonts w:ascii="Times New Roman" w:hAnsi="Times New Roman" w:cs="Times New Roman"/>
          <w:sz w:val="24"/>
          <w:szCs w:val="24"/>
        </w:rPr>
        <w:t xml:space="preserve"> to the economic slowdown post the global meltdown in 2008. </w:t>
      </w:r>
      <w:r w:rsidRPr="005F3303">
        <w:rPr>
          <w:rStyle w:val="apple-converted-space"/>
          <w:rFonts w:ascii="Times New Roman" w:hAnsi="Times New Roman" w:cs="Times New Roman"/>
          <w:sz w:val="24"/>
          <w:szCs w:val="24"/>
          <w:shd w:val="clear" w:color="auto" w:fill="FFFFFF"/>
        </w:rPr>
        <w:t>Although India outperformed expectations riding through the global economic slowdown relatively unaffected, it’s exposure to the crisis was unavoidable</w:t>
      </w:r>
      <w:r w:rsidRPr="005F3303">
        <w:rPr>
          <w:rFonts w:ascii="Times New Roman" w:hAnsi="Times New Roman" w:cs="Times New Roman"/>
          <w:sz w:val="24"/>
          <w:szCs w:val="24"/>
        </w:rPr>
        <w:t xml:space="preserve">. Ultimately, with economic growth slowing down, delay in implementation of projects and rate of interest going up sharply, corporates have been under tremendous financial stress and have been finding it difficult to repay loans. </w:t>
      </w:r>
    </w:p>
    <w:p w:rsidR="002A162A" w:rsidRPr="005F330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042E15"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sidRPr="005F3303">
        <w:rPr>
          <w:rFonts w:ascii="Times New Roman" w:hAnsi="Times New Roman" w:cs="Times New Roman"/>
          <w:sz w:val="24"/>
          <w:szCs w:val="24"/>
        </w:rPr>
        <w:t xml:space="preserve">This paints a grim situation where the corporates are facing tough times and may even face liquidation. In order to </w:t>
      </w:r>
      <w:r>
        <w:rPr>
          <w:rFonts w:ascii="Times New Roman" w:hAnsi="Times New Roman" w:cs="Times New Roman"/>
          <w:sz w:val="24"/>
          <w:szCs w:val="24"/>
        </w:rPr>
        <w:t>avoid</w:t>
      </w:r>
      <w:r w:rsidRPr="005F3303">
        <w:rPr>
          <w:rFonts w:ascii="Times New Roman" w:hAnsi="Times New Roman" w:cs="Times New Roman"/>
          <w:sz w:val="24"/>
          <w:szCs w:val="24"/>
        </w:rPr>
        <w:t xml:space="preserve"> liquidation of the company, which has far</w:t>
      </w:r>
      <w:r>
        <w:rPr>
          <w:rFonts w:ascii="Times New Roman" w:hAnsi="Times New Roman" w:cs="Times New Roman"/>
          <w:sz w:val="24"/>
          <w:szCs w:val="24"/>
        </w:rPr>
        <w:t>-</w:t>
      </w:r>
      <w:r w:rsidRPr="005F3303">
        <w:rPr>
          <w:rFonts w:ascii="Times New Roman" w:hAnsi="Times New Roman" w:cs="Times New Roman"/>
          <w:sz w:val="24"/>
          <w:szCs w:val="24"/>
        </w:rPr>
        <w:t>reaching adverse impact</w:t>
      </w:r>
      <w:r>
        <w:rPr>
          <w:rFonts w:ascii="Times New Roman" w:hAnsi="Times New Roman" w:cs="Times New Roman"/>
          <w:sz w:val="24"/>
          <w:szCs w:val="24"/>
        </w:rPr>
        <w:t>s</w:t>
      </w:r>
      <w:r w:rsidRPr="005F3303">
        <w:rPr>
          <w:rFonts w:ascii="Times New Roman" w:hAnsi="Times New Roman" w:cs="Times New Roman"/>
          <w:sz w:val="24"/>
          <w:szCs w:val="24"/>
        </w:rPr>
        <w:t xml:space="preserve"> both financially and socially, the borrowers seek to renegotiate with their lenders regarding modification of the terms of the</w:t>
      </w:r>
      <w:r>
        <w:rPr>
          <w:rFonts w:ascii="Times New Roman" w:hAnsi="Times New Roman" w:cs="Times New Roman"/>
          <w:sz w:val="24"/>
          <w:szCs w:val="24"/>
        </w:rPr>
        <w:t>ir</w:t>
      </w:r>
      <w:r w:rsidRPr="005F3303">
        <w:rPr>
          <w:rFonts w:ascii="Times New Roman" w:hAnsi="Times New Roman" w:cs="Times New Roman"/>
          <w:sz w:val="24"/>
          <w:szCs w:val="24"/>
        </w:rPr>
        <w:t xml:space="preserve"> loan</w:t>
      </w:r>
      <w:r>
        <w:rPr>
          <w:rFonts w:ascii="Times New Roman" w:hAnsi="Times New Roman" w:cs="Times New Roman"/>
          <w:sz w:val="24"/>
          <w:szCs w:val="24"/>
        </w:rPr>
        <w:t>s</w:t>
      </w:r>
      <w:r w:rsidRPr="005F3303">
        <w:rPr>
          <w:rFonts w:ascii="Times New Roman" w:hAnsi="Times New Roman" w:cs="Times New Roman"/>
          <w:sz w:val="24"/>
          <w:szCs w:val="24"/>
        </w:rPr>
        <w:t xml:space="preserve">. In fact, the lenders too might seek a reschedulement to minimise the losses and reduce non-performing </w:t>
      </w:r>
      <w:r>
        <w:rPr>
          <w:rFonts w:ascii="Times New Roman" w:hAnsi="Times New Roman" w:cs="Times New Roman"/>
          <w:sz w:val="24"/>
          <w:szCs w:val="24"/>
        </w:rPr>
        <w:t>loans</w:t>
      </w:r>
      <w:r w:rsidRPr="005F3303">
        <w:rPr>
          <w:rFonts w:ascii="Times New Roman" w:hAnsi="Times New Roman" w:cs="Times New Roman"/>
          <w:sz w:val="24"/>
          <w:szCs w:val="24"/>
        </w:rPr>
        <w:t>. This action of the corporate leads to what is popularly called ‘debt recast’ or ‘corporate debt restructuring’. To prevent bankruptcies, in 2001, the RBI came up with Corporate Debt Restructuring (CDR), a mechanism that companies unable to pay off debts can us</w:t>
      </w:r>
      <w:r>
        <w:rPr>
          <w:rFonts w:ascii="Times New Roman" w:hAnsi="Times New Roman" w:cs="Times New Roman"/>
          <w:sz w:val="24"/>
          <w:szCs w:val="24"/>
        </w:rPr>
        <w:t xml:space="preserve">e to stay solvent, restructure </w:t>
      </w:r>
      <w:r w:rsidRPr="005F3303">
        <w:rPr>
          <w:rFonts w:ascii="Times New Roman" w:hAnsi="Times New Roman" w:cs="Times New Roman"/>
          <w:sz w:val="24"/>
          <w:szCs w:val="24"/>
        </w:rPr>
        <w:t>and finally revive.</w:t>
      </w:r>
    </w:p>
    <w:p w:rsidR="00042E15" w:rsidRPr="005F330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131A17"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sidRPr="005F3303">
        <w:rPr>
          <w:rFonts w:ascii="Times New Roman" w:hAnsi="Times New Roman" w:cs="Times New Roman"/>
          <w:sz w:val="24"/>
          <w:szCs w:val="24"/>
        </w:rPr>
        <w:t xml:space="preserve">Indian Banks sought to restructure over $40 billion </w:t>
      </w:r>
      <w:r>
        <w:rPr>
          <w:rFonts w:ascii="Times New Roman" w:hAnsi="Times New Roman" w:cs="Times New Roman"/>
          <w:sz w:val="24"/>
          <w:szCs w:val="24"/>
        </w:rPr>
        <w:t>of</w:t>
      </w:r>
      <w:r w:rsidRPr="005F3303">
        <w:rPr>
          <w:rFonts w:ascii="Times New Roman" w:hAnsi="Times New Roman" w:cs="Times New Roman"/>
          <w:sz w:val="24"/>
          <w:szCs w:val="24"/>
        </w:rPr>
        <w:t xml:space="preserve"> corporate loans in the two fiscal years from April 2012 to March 2014</w:t>
      </w:r>
      <w:r w:rsidRPr="00C12560">
        <w:rPr>
          <w:rFonts w:ascii="Times New Roman" w:hAnsi="Times New Roman" w:cs="Times New Roman"/>
          <w:sz w:val="24"/>
          <w:szCs w:val="24"/>
        </w:rPr>
        <w:t xml:space="preserve"> </w:t>
      </w:r>
      <w:r w:rsidRPr="005F3303">
        <w:rPr>
          <w:rFonts w:ascii="Times New Roman" w:hAnsi="Times New Roman" w:cs="Times New Roman"/>
          <w:sz w:val="24"/>
          <w:szCs w:val="24"/>
        </w:rPr>
        <w:t>through the CDR forum. This debt was greater than the cumulative amount of debt restructured under the forum since its inception in 2001.</w:t>
      </w:r>
      <w:r>
        <w:rPr>
          <w:rFonts w:ascii="Times New Roman" w:hAnsi="Times New Roman" w:cs="Times New Roman"/>
          <w:sz w:val="24"/>
          <w:szCs w:val="24"/>
        </w:rPr>
        <w:t xml:space="preserve">  </w:t>
      </w:r>
    </w:p>
    <w:p w:rsidR="002A162A" w:rsidRPr="005F330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77628C" w:rsidRPr="005F3303" w:rsidRDefault="00BD2193" w:rsidP="00A87168">
      <w:pPr>
        <w:spacing w:line="240" w:lineRule="auto"/>
        <w:jc w:val="both"/>
        <w:rPr>
          <w:rStyle w:val="apple-converted-space"/>
        </w:rPr>
      </w:pPr>
      <w:r w:rsidRPr="005F3303">
        <w:rPr>
          <w:rStyle w:val="apple-converted-space"/>
          <w:rFonts w:ascii="Times New Roman" w:hAnsi="Times New Roman" w:cs="Times New Roman"/>
          <w:b/>
          <w:i/>
          <w:sz w:val="28"/>
          <w:szCs w:val="24"/>
          <w:shd w:val="clear" w:color="auto" w:fill="FFFFFF"/>
        </w:rPr>
        <w:t>Restructuring &amp; Insolvency regime in India</w:t>
      </w:r>
    </w:p>
    <w:p w:rsidR="0077628C"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sidRPr="005F3303">
        <w:rPr>
          <w:rFonts w:ascii="Times New Roman" w:hAnsi="Times New Roman" w:cs="Times New Roman"/>
          <w:sz w:val="24"/>
          <w:szCs w:val="24"/>
        </w:rPr>
        <w:t xml:space="preserve">When </w:t>
      </w:r>
      <w:r>
        <w:rPr>
          <w:rFonts w:ascii="Times New Roman" w:hAnsi="Times New Roman" w:cs="Times New Roman"/>
          <w:sz w:val="24"/>
          <w:szCs w:val="24"/>
        </w:rPr>
        <w:t>corporates</w:t>
      </w:r>
      <w:r w:rsidRPr="005F3303">
        <w:rPr>
          <w:rFonts w:ascii="Times New Roman" w:hAnsi="Times New Roman" w:cs="Times New Roman"/>
          <w:sz w:val="24"/>
          <w:szCs w:val="24"/>
        </w:rPr>
        <w:t xml:space="preserve"> in India are </w:t>
      </w:r>
      <w:r>
        <w:rPr>
          <w:rFonts w:ascii="Times New Roman" w:hAnsi="Times New Roman" w:cs="Times New Roman"/>
          <w:sz w:val="24"/>
          <w:szCs w:val="24"/>
        </w:rPr>
        <w:t>confronted</w:t>
      </w:r>
      <w:r w:rsidRPr="005F3303">
        <w:rPr>
          <w:rFonts w:ascii="Times New Roman" w:hAnsi="Times New Roman" w:cs="Times New Roman"/>
          <w:sz w:val="24"/>
          <w:szCs w:val="24"/>
        </w:rPr>
        <w:t xml:space="preserve"> with financial </w:t>
      </w:r>
      <w:r>
        <w:rPr>
          <w:rFonts w:ascii="Times New Roman" w:hAnsi="Times New Roman" w:cs="Times New Roman"/>
          <w:sz w:val="24"/>
          <w:szCs w:val="24"/>
        </w:rPr>
        <w:t>distress</w:t>
      </w:r>
      <w:r w:rsidRPr="005F3303">
        <w:rPr>
          <w:rFonts w:ascii="Times New Roman" w:hAnsi="Times New Roman" w:cs="Times New Roman"/>
          <w:sz w:val="24"/>
          <w:szCs w:val="24"/>
        </w:rPr>
        <w:t xml:space="preserve">, they </w:t>
      </w:r>
      <w:r>
        <w:rPr>
          <w:rFonts w:ascii="Times New Roman" w:hAnsi="Times New Roman" w:cs="Times New Roman"/>
          <w:sz w:val="24"/>
          <w:szCs w:val="24"/>
        </w:rPr>
        <w:t xml:space="preserve">have to </w:t>
      </w:r>
      <w:r w:rsidRPr="005F3303">
        <w:rPr>
          <w:rFonts w:ascii="Times New Roman" w:hAnsi="Times New Roman" w:cs="Times New Roman"/>
          <w:sz w:val="24"/>
          <w:szCs w:val="24"/>
        </w:rPr>
        <w:t xml:space="preserve">consider a number of options to achieve restructuring or liquidity. </w:t>
      </w:r>
      <w:r w:rsidRPr="005F3303">
        <w:rPr>
          <w:rStyle w:val="apple-converted-space"/>
          <w:rFonts w:ascii="Times New Roman" w:hAnsi="Times New Roman" w:cs="Times New Roman"/>
          <w:sz w:val="24"/>
          <w:szCs w:val="24"/>
          <w:shd w:val="clear" w:color="auto" w:fill="FFFFFF"/>
        </w:rPr>
        <w:t xml:space="preserve">There is no single comprehensive and integrated policy on corporate insolvency and restructuring in India comparable with Chapter 11 or Chapter 7 </w:t>
      </w:r>
      <w:r>
        <w:rPr>
          <w:rStyle w:val="apple-converted-space"/>
          <w:rFonts w:ascii="Times New Roman" w:hAnsi="Times New Roman" w:cs="Times New Roman"/>
          <w:sz w:val="24"/>
          <w:szCs w:val="24"/>
          <w:shd w:val="clear" w:color="auto" w:fill="FFFFFF"/>
        </w:rPr>
        <w:t xml:space="preserve">of the </w:t>
      </w:r>
      <w:r w:rsidRPr="005F3303">
        <w:rPr>
          <w:rStyle w:val="apple-converted-space"/>
          <w:rFonts w:ascii="Times New Roman" w:hAnsi="Times New Roman" w:cs="Times New Roman"/>
          <w:sz w:val="24"/>
          <w:szCs w:val="24"/>
          <w:shd w:val="clear" w:color="auto" w:fill="FFFFFF"/>
        </w:rPr>
        <w:t xml:space="preserve">US bankruptcy code. </w:t>
      </w:r>
      <w:r>
        <w:rPr>
          <w:rStyle w:val="apple-converted-space"/>
          <w:rFonts w:ascii="Times New Roman" w:hAnsi="Times New Roman" w:cs="Times New Roman"/>
          <w:sz w:val="24"/>
          <w:szCs w:val="24"/>
          <w:shd w:val="clear" w:color="auto" w:fill="FFFFFF"/>
        </w:rPr>
        <w:t xml:space="preserve"> </w:t>
      </w:r>
      <w:r w:rsidRPr="005F3303">
        <w:rPr>
          <w:rFonts w:ascii="Times New Roman" w:hAnsi="Times New Roman" w:cs="Times New Roman"/>
          <w:sz w:val="24"/>
          <w:szCs w:val="24"/>
        </w:rPr>
        <w:t>There are five broad ways for them to attempt to achieve the desired results. These include winding up</w:t>
      </w:r>
      <w:r>
        <w:rPr>
          <w:rFonts w:ascii="Times New Roman" w:hAnsi="Times New Roman" w:cs="Times New Roman"/>
          <w:sz w:val="24"/>
          <w:szCs w:val="24"/>
        </w:rPr>
        <w:t xml:space="preserve"> under Companies Act 2013 (which recently replaced Companies Act 1956),</w:t>
      </w:r>
      <w:r w:rsidRPr="005F3303">
        <w:rPr>
          <w:rFonts w:ascii="Times New Roman" w:hAnsi="Times New Roman" w:cs="Times New Roman"/>
          <w:sz w:val="24"/>
          <w:szCs w:val="24"/>
        </w:rPr>
        <w:t xml:space="preserve"> arrangements or compromises under the Companies Act</w:t>
      </w:r>
      <w:r>
        <w:rPr>
          <w:rFonts w:ascii="Times New Roman" w:hAnsi="Times New Roman" w:cs="Times New Roman"/>
          <w:sz w:val="24"/>
          <w:szCs w:val="24"/>
        </w:rPr>
        <w:t xml:space="preserve"> 2013</w:t>
      </w:r>
      <w:r w:rsidRPr="005F3303">
        <w:rPr>
          <w:rFonts w:ascii="Times New Roman" w:hAnsi="Times New Roman" w:cs="Times New Roman"/>
          <w:sz w:val="24"/>
          <w:szCs w:val="24"/>
        </w:rPr>
        <w:t xml:space="preserve">, restructuring under the Sick Industrial Companies </w:t>
      </w:r>
      <w:r>
        <w:rPr>
          <w:rFonts w:ascii="Times New Roman" w:hAnsi="Times New Roman" w:cs="Times New Roman"/>
          <w:sz w:val="24"/>
          <w:szCs w:val="24"/>
        </w:rPr>
        <w:t xml:space="preserve">Act </w:t>
      </w:r>
      <w:r w:rsidRPr="005F3303">
        <w:rPr>
          <w:rFonts w:ascii="Times New Roman" w:hAnsi="Times New Roman" w:cs="Times New Roman"/>
          <w:sz w:val="24"/>
          <w:szCs w:val="24"/>
        </w:rPr>
        <w:t>(SIC</w:t>
      </w:r>
      <w:r>
        <w:rPr>
          <w:rFonts w:ascii="Times New Roman" w:hAnsi="Times New Roman" w:cs="Times New Roman"/>
          <w:sz w:val="24"/>
          <w:szCs w:val="24"/>
        </w:rPr>
        <w:t>A</w:t>
      </w:r>
      <w:r w:rsidRPr="005F3303">
        <w:rPr>
          <w:rFonts w:ascii="Times New Roman" w:hAnsi="Times New Roman" w:cs="Times New Roman"/>
          <w:sz w:val="24"/>
          <w:szCs w:val="24"/>
        </w:rPr>
        <w:t xml:space="preserve">) and Reconstruction of assets under the Securitisation, Reconstruction of Financial Assets and Enforcement of Security Interest (SRFAESI) Act. Lastly, debt restructuring as per the RBI guidelines on CDR provides an important </w:t>
      </w:r>
      <w:r>
        <w:rPr>
          <w:rFonts w:ascii="Times New Roman" w:hAnsi="Times New Roman" w:cs="Times New Roman"/>
          <w:sz w:val="24"/>
          <w:szCs w:val="24"/>
        </w:rPr>
        <w:t>procedure</w:t>
      </w:r>
      <w:r w:rsidRPr="005F3303">
        <w:rPr>
          <w:rFonts w:ascii="Times New Roman" w:hAnsi="Times New Roman" w:cs="Times New Roman"/>
          <w:sz w:val="24"/>
          <w:szCs w:val="24"/>
        </w:rPr>
        <w:t xml:space="preserve"> to address these concerns.</w:t>
      </w:r>
    </w:p>
    <w:p w:rsidR="0077628C" w:rsidRDefault="004B1BED" w:rsidP="00A87168">
      <w:pPr>
        <w:autoSpaceDE w:val="0"/>
        <w:autoSpaceDN w:val="0"/>
        <w:adjustRightInd w:val="0"/>
        <w:spacing w:after="0" w:line="240" w:lineRule="auto"/>
        <w:jc w:val="both"/>
        <w:rPr>
          <w:rStyle w:val="apple-converted-space"/>
        </w:rPr>
      </w:pPr>
    </w:p>
    <w:p w:rsidR="0077628C" w:rsidRPr="005F3303" w:rsidRDefault="00BD2193" w:rsidP="00A87168">
      <w:pPr>
        <w:autoSpaceDE w:val="0"/>
        <w:autoSpaceDN w:val="0"/>
        <w:adjustRightInd w:val="0"/>
        <w:spacing w:after="0" w:line="240" w:lineRule="auto"/>
        <w:jc w:val="both"/>
        <w:rPr>
          <w:rStyle w:val="apple-converted-space"/>
        </w:rPr>
      </w:pPr>
      <w:r w:rsidRPr="005F3303">
        <w:rPr>
          <w:rStyle w:val="apple-converted-space"/>
          <w:rFonts w:ascii="Times New Roman" w:hAnsi="Times New Roman" w:cs="Times New Roman"/>
          <w:sz w:val="24"/>
          <w:szCs w:val="24"/>
          <w:shd w:val="clear" w:color="auto" w:fill="FFFFFF"/>
        </w:rPr>
        <w:t xml:space="preserve">The objective of the CDR framework is to ensure </w:t>
      </w:r>
      <w:r>
        <w:rPr>
          <w:rStyle w:val="apple-converted-space"/>
          <w:rFonts w:ascii="Times New Roman" w:hAnsi="Times New Roman" w:cs="Times New Roman"/>
          <w:sz w:val="24"/>
          <w:szCs w:val="24"/>
          <w:shd w:val="clear" w:color="auto" w:fill="FFFFFF"/>
        </w:rPr>
        <w:t xml:space="preserve">a </w:t>
      </w:r>
      <w:r w:rsidRPr="005F3303">
        <w:rPr>
          <w:rStyle w:val="apple-converted-space"/>
          <w:rFonts w:ascii="Times New Roman" w:hAnsi="Times New Roman" w:cs="Times New Roman"/>
          <w:sz w:val="24"/>
          <w:szCs w:val="24"/>
          <w:shd w:val="clear" w:color="auto" w:fill="FFFFFF"/>
        </w:rPr>
        <w:t xml:space="preserve">timely and transparent mechanism for restructuring the corporate debts of viable entities facing problems, outside the purview of </w:t>
      </w:r>
      <w:r>
        <w:rPr>
          <w:rStyle w:val="apple-converted-space"/>
          <w:rFonts w:ascii="Times New Roman" w:hAnsi="Times New Roman" w:cs="Times New Roman"/>
          <w:sz w:val="24"/>
          <w:szCs w:val="24"/>
          <w:shd w:val="clear" w:color="auto" w:fill="FFFFFF"/>
        </w:rPr>
        <w:t>SICA and Companies Act</w:t>
      </w:r>
      <w:r w:rsidRPr="005F3303">
        <w:rPr>
          <w:rStyle w:val="apple-converted-space"/>
          <w:rFonts w:ascii="Times New Roman" w:hAnsi="Times New Roman" w:cs="Times New Roman"/>
          <w:sz w:val="24"/>
          <w:szCs w:val="24"/>
          <w:shd w:val="clear" w:color="auto" w:fill="FFFFFF"/>
        </w:rPr>
        <w:t xml:space="preserve"> and other legal proceedings, for the benefit of all concerned. In particular, the framework aim</w:t>
      </w:r>
      <w:r>
        <w:rPr>
          <w:rStyle w:val="apple-converted-space"/>
          <w:rFonts w:ascii="Times New Roman" w:hAnsi="Times New Roman" w:cs="Times New Roman"/>
          <w:sz w:val="24"/>
          <w:szCs w:val="24"/>
          <w:shd w:val="clear" w:color="auto" w:fill="FFFFFF"/>
        </w:rPr>
        <w:t>s</w:t>
      </w:r>
      <w:r w:rsidRPr="005F3303">
        <w:rPr>
          <w:rStyle w:val="apple-converted-space"/>
          <w:rFonts w:ascii="Times New Roman" w:hAnsi="Times New Roman" w:cs="Times New Roman"/>
          <w:sz w:val="24"/>
          <w:szCs w:val="24"/>
          <w:shd w:val="clear" w:color="auto" w:fill="FFFFFF"/>
        </w:rPr>
        <w:t xml:space="preserve"> at preserving </w:t>
      </w:r>
      <w:r>
        <w:rPr>
          <w:rStyle w:val="apple-converted-space"/>
          <w:rFonts w:ascii="Times New Roman" w:hAnsi="Times New Roman" w:cs="Times New Roman"/>
          <w:sz w:val="24"/>
          <w:szCs w:val="24"/>
          <w:shd w:val="clear" w:color="auto" w:fill="FFFFFF"/>
        </w:rPr>
        <w:t xml:space="preserve">economically </w:t>
      </w:r>
      <w:r w:rsidRPr="005F3303">
        <w:rPr>
          <w:rStyle w:val="apple-converted-space"/>
          <w:rFonts w:ascii="Times New Roman" w:hAnsi="Times New Roman" w:cs="Times New Roman"/>
          <w:sz w:val="24"/>
          <w:szCs w:val="24"/>
          <w:shd w:val="clear" w:color="auto" w:fill="FFFFFF"/>
        </w:rPr>
        <w:t>viable corporates that are affected by certain</w:t>
      </w:r>
      <w:r>
        <w:rPr>
          <w:rStyle w:val="apple-converted-space"/>
          <w:rFonts w:ascii="Times New Roman" w:hAnsi="Times New Roman" w:cs="Times New Roman"/>
          <w:sz w:val="24"/>
          <w:szCs w:val="24"/>
          <w:shd w:val="clear" w:color="auto" w:fill="FFFFFF"/>
        </w:rPr>
        <w:t xml:space="preserve"> adverse</w:t>
      </w:r>
      <w:r w:rsidRPr="005F3303">
        <w:rPr>
          <w:rStyle w:val="apple-converted-space"/>
          <w:rFonts w:ascii="Times New Roman" w:hAnsi="Times New Roman" w:cs="Times New Roman"/>
          <w:sz w:val="24"/>
          <w:szCs w:val="24"/>
          <w:shd w:val="clear" w:color="auto" w:fill="FFFFFF"/>
        </w:rPr>
        <w:t xml:space="preserve"> internal </w:t>
      </w:r>
      <w:r>
        <w:rPr>
          <w:rStyle w:val="apple-converted-space"/>
          <w:rFonts w:ascii="Times New Roman" w:hAnsi="Times New Roman" w:cs="Times New Roman"/>
          <w:sz w:val="24"/>
          <w:szCs w:val="24"/>
          <w:shd w:val="clear" w:color="auto" w:fill="FFFFFF"/>
        </w:rPr>
        <w:t>or</w:t>
      </w:r>
      <w:r w:rsidRPr="005F3303">
        <w:rPr>
          <w:rStyle w:val="apple-converted-space"/>
          <w:rFonts w:ascii="Times New Roman" w:hAnsi="Times New Roman" w:cs="Times New Roman"/>
          <w:sz w:val="24"/>
          <w:szCs w:val="24"/>
          <w:shd w:val="clear" w:color="auto" w:fill="FFFFFF"/>
        </w:rPr>
        <w:t xml:space="preserve"> external factors and minimize the losses to the creditors and other stakeholders through a coordinated restructuring programme.</w:t>
      </w:r>
    </w:p>
    <w:p w:rsidR="0077628C" w:rsidRPr="005F3303" w:rsidRDefault="00BD2193" w:rsidP="00A87168">
      <w:pPr>
        <w:autoSpaceDE w:val="0"/>
        <w:autoSpaceDN w:val="0"/>
        <w:adjustRightInd w:val="0"/>
        <w:spacing w:after="0" w:line="240" w:lineRule="auto"/>
        <w:jc w:val="both"/>
        <w:rPr>
          <w:rStyle w:val="apple-converted-space"/>
        </w:rPr>
      </w:pPr>
      <w:r w:rsidRPr="005F3303">
        <w:rPr>
          <w:rStyle w:val="apple-converted-space"/>
          <w:rFonts w:ascii="Times New Roman" w:hAnsi="Times New Roman" w:cs="Times New Roman"/>
          <w:sz w:val="24"/>
          <w:szCs w:val="24"/>
          <w:shd w:val="clear" w:color="auto" w:fill="FFFFFF"/>
        </w:rPr>
        <w:lastRenderedPageBreak/>
        <w:t xml:space="preserve"> </w:t>
      </w:r>
    </w:p>
    <w:p w:rsidR="00DE01E8" w:rsidRPr="005F3303" w:rsidRDefault="00BD2193" w:rsidP="00A87168">
      <w:pPr>
        <w:spacing w:line="240" w:lineRule="auto"/>
        <w:jc w:val="both"/>
        <w:rPr>
          <w:rStyle w:val="apple-converted-space"/>
        </w:rPr>
      </w:pPr>
      <w:r w:rsidRPr="005F3303">
        <w:rPr>
          <w:rStyle w:val="apple-converted-space"/>
          <w:rFonts w:ascii="Times New Roman" w:hAnsi="Times New Roman" w:cs="Times New Roman"/>
          <w:b/>
          <w:i/>
          <w:sz w:val="28"/>
          <w:szCs w:val="24"/>
          <w:shd w:val="clear" w:color="auto" w:fill="FFFFFF"/>
        </w:rPr>
        <w:t>Why Debt Restructuring?</w:t>
      </w:r>
    </w:p>
    <w:p w:rsidR="00DE01E8" w:rsidRPr="00755F7A" w:rsidRDefault="00BD2193" w:rsidP="00A87168">
      <w:pPr>
        <w:spacing w:line="240" w:lineRule="auto"/>
        <w:jc w:val="both"/>
        <w:rPr>
          <w:rFonts w:ascii="Times New Roman" w:hAnsi="Times New Roman" w:cs="Times New Roman"/>
          <w:sz w:val="24"/>
          <w:szCs w:val="24"/>
        </w:rPr>
      </w:pPr>
      <w:r>
        <w:rPr>
          <w:rFonts w:ascii="Times New Roman" w:hAnsi="Times New Roman" w:cs="Times New Roman"/>
          <w:sz w:val="24"/>
          <w:szCs w:val="24"/>
        </w:rPr>
        <w:t>In the Indian corporate world,</w:t>
      </w:r>
      <w:r w:rsidRPr="005F3303">
        <w:rPr>
          <w:rFonts w:ascii="Times New Roman" w:hAnsi="Times New Roman" w:cs="Times New Roman"/>
          <w:sz w:val="24"/>
          <w:szCs w:val="24"/>
        </w:rPr>
        <w:t xml:space="preserve"> CDR has </w:t>
      </w:r>
      <w:r>
        <w:rPr>
          <w:rFonts w:ascii="Times New Roman" w:hAnsi="Times New Roman" w:cs="Times New Roman"/>
          <w:sz w:val="24"/>
          <w:szCs w:val="24"/>
        </w:rPr>
        <w:t>been</w:t>
      </w:r>
      <w:r w:rsidRPr="005F3303">
        <w:rPr>
          <w:rFonts w:ascii="Times New Roman" w:hAnsi="Times New Roman" w:cs="Times New Roman"/>
          <w:sz w:val="24"/>
          <w:szCs w:val="24"/>
        </w:rPr>
        <w:t xml:space="preserve"> </w:t>
      </w:r>
      <w:r>
        <w:rPr>
          <w:rFonts w:ascii="Times New Roman" w:hAnsi="Times New Roman" w:cs="Times New Roman"/>
          <w:sz w:val="24"/>
          <w:szCs w:val="24"/>
        </w:rPr>
        <w:t xml:space="preserve">grabbing constant media-attention in the past 2-3 years. </w:t>
      </w:r>
      <w:r w:rsidRPr="005F3303">
        <w:rPr>
          <w:rFonts w:ascii="Times New Roman" w:hAnsi="Times New Roman" w:cs="Times New Roman"/>
          <w:sz w:val="24"/>
          <w:szCs w:val="24"/>
        </w:rPr>
        <w:t>With a formalized CD</w:t>
      </w:r>
      <w:r w:rsidRPr="00755F7A">
        <w:rPr>
          <w:rFonts w:ascii="Times New Roman" w:hAnsi="Times New Roman" w:cs="Times New Roman"/>
          <w:sz w:val="24"/>
          <w:szCs w:val="24"/>
        </w:rPr>
        <w:t>R system and an increasing number of corporates taking refuge under its provisions, CDR has established a strong foothold in the field</w:t>
      </w:r>
      <w:r>
        <w:rPr>
          <w:rFonts w:ascii="Times New Roman" w:hAnsi="Times New Roman" w:cs="Times New Roman"/>
          <w:sz w:val="24"/>
          <w:szCs w:val="24"/>
        </w:rPr>
        <w:t>s</w:t>
      </w:r>
      <w:r w:rsidRPr="00755F7A">
        <w:rPr>
          <w:rFonts w:ascii="Times New Roman" w:hAnsi="Times New Roman" w:cs="Times New Roman"/>
          <w:sz w:val="24"/>
          <w:szCs w:val="24"/>
        </w:rPr>
        <w:t xml:space="preserve"> of banking and finance. The total amount of cumulative debt that has been referred to the CDR cell alone amount to about $80 bn </w:t>
      </w:r>
      <w:r>
        <w:rPr>
          <w:rFonts w:ascii="Times New Roman" w:hAnsi="Times New Roman" w:cs="Times New Roman"/>
          <w:sz w:val="24"/>
          <w:szCs w:val="24"/>
        </w:rPr>
        <w:t>a</w:t>
      </w:r>
      <w:r w:rsidRPr="00755F7A">
        <w:rPr>
          <w:rFonts w:ascii="Times New Roman" w:hAnsi="Times New Roman" w:cs="Times New Roman"/>
          <w:sz w:val="24"/>
          <w:szCs w:val="24"/>
        </w:rPr>
        <w:t>nd</w:t>
      </w:r>
      <w:r w:rsidRPr="005F3303">
        <w:rPr>
          <w:rFonts w:ascii="Times New Roman" w:hAnsi="Times New Roman" w:cs="Times New Roman"/>
          <w:sz w:val="24"/>
          <w:szCs w:val="24"/>
        </w:rPr>
        <w:t xml:space="preserve"> this does not include the bilateral debt restructuring </w:t>
      </w:r>
      <w:r>
        <w:rPr>
          <w:rFonts w:ascii="Times New Roman" w:hAnsi="Times New Roman" w:cs="Times New Roman"/>
          <w:sz w:val="24"/>
          <w:szCs w:val="24"/>
        </w:rPr>
        <w:t xml:space="preserve">with banks </w:t>
      </w:r>
      <w:r w:rsidRPr="005F3303">
        <w:rPr>
          <w:rFonts w:ascii="Times New Roman" w:hAnsi="Times New Roman" w:cs="Times New Roman"/>
          <w:sz w:val="24"/>
          <w:szCs w:val="24"/>
        </w:rPr>
        <w:t xml:space="preserve">which </w:t>
      </w:r>
      <w:r>
        <w:rPr>
          <w:rFonts w:ascii="Times New Roman" w:hAnsi="Times New Roman" w:cs="Times New Roman"/>
          <w:sz w:val="24"/>
          <w:szCs w:val="24"/>
        </w:rPr>
        <w:t>is</w:t>
      </w:r>
      <w:r w:rsidRPr="005F3303">
        <w:rPr>
          <w:rFonts w:ascii="Times New Roman" w:hAnsi="Times New Roman" w:cs="Times New Roman"/>
          <w:sz w:val="24"/>
          <w:szCs w:val="24"/>
        </w:rPr>
        <w:t xml:space="preserve"> also happening at a very fast pace. </w:t>
      </w:r>
      <w:r>
        <w:rPr>
          <w:rFonts w:ascii="Times New Roman" w:hAnsi="Times New Roman" w:cs="Times New Roman"/>
          <w:sz w:val="24"/>
          <w:szCs w:val="24"/>
        </w:rPr>
        <w:t>As per a recent media report, i</w:t>
      </w:r>
      <w:r w:rsidRPr="005F3303">
        <w:rPr>
          <w:rFonts w:ascii="Times New Roman" w:hAnsi="Times New Roman" w:cs="Times New Roman"/>
          <w:sz w:val="24"/>
          <w:szCs w:val="24"/>
        </w:rPr>
        <w:t xml:space="preserve">t is estimated that debt restructured under CDR amounts to just 30% of the total debt restructured in India in FY 2014.  </w:t>
      </w:r>
      <w:r w:rsidRPr="00755F7A">
        <w:rPr>
          <w:rFonts w:ascii="Times New Roman" w:hAnsi="Times New Roman" w:cs="Times New Roman"/>
          <w:sz w:val="24"/>
          <w:szCs w:val="24"/>
        </w:rPr>
        <w:t xml:space="preserve">Let’s try to see why Indian corporates are leaning so much towards debt restructuring? </w:t>
      </w:r>
    </w:p>
    <w:p w:rsidR="00DE01E8" w:rsidRPr="005F3303" w:rsidRDefault="00BD2193" w:rsidP="00A87168">
      <w:pPr>
        <w:autoSpaceDE w:val="0"/>
        <w:autoSpaceDN w:val="0"/>
        <w:adjustRightInd w:val="0"/>
        <w:spacing w:after="0" w:line="240" w:lineRule="auto"/>
        <w:jc w:val="both"/>
        <w:rPr>
          <w:rFonts w:ascii="Times New Roman" w:hAnsi="Times New Roman" w:cs="Times New Roman"/>
          <w:i/>
          <w:sz w:val="24"/>
          <w:szCs w:val="24"/>
        </w:rPr>
      </w:pPr>
      <w:r w:rsidRPr="005F3303">
        <w:rPr>
          <w:rFonts w:ascii="Times New Roman" w:hAnsi="Times New Roman" w:cs="Times New Roman"/>
          <w:i/>
          <w:sz w:val="24"/>
          <w:szCs w:val="24"/>
        </w:rPr>
        <w:t>An Example: How Debt Restructuring Scores Over Other Remedies</w:t>
      </w:r>
    </w:p>
    <w:p w:rsidR="00DE01E8" w:rsidRPr="005F330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DE01E8"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sidRPr="005F3303">
        <w:rPr>
          <w:rFonts w:ascii="Times New Roman" w:hAnsi="Times New Roman" w:cs="Times New Roman"/>
          <w:sz w:val="24"/>
          <w:szCs w:val="24"/>
        </w:rPr>
        <w:t xml:space="preserve">Assume that there is a Company which has an outstanding debt </w:t>
      </w:r>
      <w:r>
        <w:rPr>
          <w:rFonts w:ascii="Times New Roman" w:hAnsi="Times New Roman" w:cs="Times New Roman"/>
          <w:sz w:val="24"/>
          <w:szCs w:val="24"/>
        </w:rPr>
        <w:t xml:space="preserve">with lenders –A ,B &amp; C, </w:t>
      </w:r>
      <w:r w:rsidRPr="005F3303">
        <w:rPr>
          <w:rFonts w:ascii="Times New Roman" w:hAnsi="Times New Roman" w:cs="Times New Roman"/>
          <w:sz w:val="24"/>
          <w:szCs w:val="24"/>
        </w:rPr>
        <w:t xml:space="preserve">which it cannot </w:t>
      </w:r>
      <w:r>
        <w:rPr>
          <w:rFonts w:ascii="Times New Roman" w:hAnsi="Times New Roman" w:cs="Times New Roman"/>
          <w:sz w:val="24"/>
          <w:szCs w:val="24"/>
        </w:rPr>
        <w:t>service</w:t>
      </w:r>
      <w:r w:rsidRPr="005F3303">
        <w:rPr>
          <w:rFonts w:ascii="Times New Roman" w:hAnsi="Times New Roman" w:cs="Times New Roman"/>
          <w:sz w:val="24"/>
          <w:szCs w:val="24"/>
        </w:rPr>
        <w:t xml:space="preserve">. </w:t>
      </w:r>
    </w:p>
    <w:p w:rsidR="00DE01E8"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E01E8" w:rsidRPr="005F3303" w:rsidRDefault="00BD2193" w:rsidP="00A87168">
      <w:pPr>
        <w:autoSpaceDE w:val="0"/>
        <w:autoSpaceDN w:val="0"/>
        <w:adjustRightInd w:val="0"/>
        <w:spacing w:after="0" w:line="240" w:lineRule="auto"/>
        <w:jc w:val="both"/>
        <w:rPr>
          <w:rFonts w:ascii="Times New Roman" w:hAnsi="Times New Roman" w:cs="Times New Roman"/>
          <w:i/>
          <w:sz w:val="24"/>
          <w:szCs w:val="24"/>
        </w:rPr>
      </w:pPr>
      <w:r w:rsidRPr="005F3303">
        <w:rPr>
          <w:rFonts w:ascii="Times New Roman" w:hAnsi="Times New Roman" w:cs="Times New Roman"/>
          <w:i/>
          <w:sz w:val="24"/>
          <w:szCs w:val="24"/>
        </w:rPr>
        <w:t xml:space="preserve">From </w:t>
      </w:r>
      <w:r>
        <w:rPr>
          <w:rFonts w:ascii="Times New Roman" w:hAnsi="Times New Roman" w:cs="Times New Roman"/>
          <w:i/>
          <w:sz w:val="24"/>
          <w:szCs w:val="24"/>
        </w:rPr>
        <w:t>Company’s point of view:</w:t>
      </w:r>
    </w:p>
    <w:p w:rsidR="00DE01E8" w:rsidRPr="005F330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704553" w:rsidRDefault="00BD2193" w:rsidP="00A87168">
      <w:pPr>
        <w:autoSpaceDE w:val="0"/>
        <w:autoSpaceDN w:val="0"/>
        <w:adjustRightInd w:val="0"/>
        <w:spacing w:after="0" w:line="240" w:lineRule="auto"/>
        <w:jc w:val="both"/>
        <w:rPr>
          <w:rFonts w:ascii="Times New Roman" w:hAnsi="Times New Roman" w:cs="Times New Roman"/>
          <w:sz w:val="24"/>
          <w:szCs w:val="24"/>
        </w:rPr>
      </w:pPr>
      <w:r w:rsidRPr="005F3303">
        <w:rPr>
          <w:rFonts w:ascii="Times New Roman" w:hAnsi="Times New Roman" w:cs="Times New Roman"/>
          <w:sz w:val="24"/>
          <w:szCs w:val="24"/>
        </w:rPr>
        <w:t>The company can pursue a few courses of action in such a situation. It can consider</w:t>
      </w:r>
      <w:r>
        <w:rPr>
          <w:rFonts w:ascii="Times New Roman" w:hAnsi="Times New Roman" w:cs="Times New Roman"/>
          <w:sz w:val="24"/>
          <w:szCs w:val="24"/>
        </w:rPr>
        <w:t xml:space="preserve"> the following options:</w:t>
      </w:r>
    </w:p>
    <w:p w:rsidR="0070455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704553" w:rsidRPr="001A70A2" w:rsidRDefault="00BD2193" w:rsidP="00A87168">
      <w:pPr>
        <w:pStyle w:val="ListParagraph"/>
        <w:numPr>
          <w:ilvl w:val="0"/>
          <w:numId w:val="9"/>
        </w:numPr>
        <w:autoSpaceDE w:val="0"/>
        <w:autoSpaceDN w:val="0"/>
        <w:adjustRightInd w:val="0"/>
        <w:spacing w:after="0" w:line="240" w:lineRule="auto"/>
        <w:ind w:left="360"/>
        <w:jc w:val="both"/>
        <w:rPr>
          <w:rFonts w:ascii="Times New Roman" w:hAnsi="Times New Roman" w:cs="Times New Roman"/>
          <w:sz w:val="24"/>
          <w:szCs w:val="24"/>
        </w:rPr>
      </w:pPr>
      <w:r w:rsidRPr="001A70A2">
        <w:rPr>
          <w:rFonts w:ascii="Times New Roman" w:hAnsi="Times New Roman" w:cs="Times New Roman"/>
          <w:i/>
          <w:sz w:val="24"/>
          <w:szCs w:val="24"/>
        </w:rPr>
        <w:t>Option 1 -</w:t>
      </w:r>
      <w:r w:rsidRPr="001A70A2">
        <w:rPr>
          <w:rFonts w:ascii="Times New Roman" w:hAnsi="Times New Roman" w:cs="Times New Roman"/>
          <w:sz w:val="24"/>
          <w:szCs w:val="24"/>
        </w:rPr>
        <w:t xml:space="preserve"> Re-financing, i.e. </w:t>
      </w:r>
      <w:r>
        <w:rPr>
          <w:rFonts w:ascii="Times New Roman" w:hAnsi="Times New Roman" w:cs="Times New Roman"/>
          <w:sz w:val="24"/>
          <w:szCs w:val="24"/>
        </w:rPr>
        <w:t>replace high cost debt with low cost</w:t>
      </w:r>
      <w:r w:rsidRPr="001A70A2">
        <w:rPr>
          <w:rFonts w:ascii="Times New Roman" w:hAnsi="Times New Roman" w:cs="Times New Roman"/>
          <w:sz w:val="24"/>
          <w:szCs w:val="24"/>
        </w:rPr>
        <w:t xml:space="preserve"> debt in the hope of turning profitable and to pay off its original debts. However, if </w:t>
      </w:r>
      <w:r>
        <w:rPr>
          <w:rFonts w:ascii="Times New Roman" w:hAnsi="Times New Roman" w:cs="Times New Roman"/>
          <w:sz w:val="24"/>
          <w:szCs w:val="24"/>
        </w:rPr>
        <w:t>the Company</w:t>
      </w:r>
      <w:r w:rsidRPr="001A70A2">
        <w:rPr>
          <w:rFonts w:ascii="Times New Roman" w:hAnsi="Times New Roman" w:cs="Times New Roman"/>
          <w:sz w:val="24"/>
          <w:szCs w:val="24"/>
        </w:rPr>
        <w:t xml:space="preserve"> is already in stress, it may not be in a position to sustain such levels of debt even at marginally lower interest rates.</w:t>
      </w:r>
      <w:r>
        <w:rPr>
          <w:rFonts w:ascii="Times New Roman" w:hAnsi="Times New Roman" w:cs="Times New Roman"/>
          <w:sz w:val="24"/>
          <w:szCs w:val="24"/>
        </w:rPr>
        <w:t xml:space="preserve"> Further, the interest rates in India are already at a high level and the real returns from the asset in distress might not be sufficient to cover even the interest burden at lower rates.</w:t>
      </w:r>
    </w:p>
    <w:p w:rsidR="0070455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704553" w:rsidRPr="001A70A2" w:rsidRDefault="00BD2193" w:rsidP="00A87168">
      <w:pPr>
        <w:pStyle w:val="ListParagraph"/>
        <w:numPr>
          <w:ilvl w:val="0"/>
          <w:numId w:val="9"/>
        </w:numPr>
        <w:autoSpaceDE w:val="0"/>
        <w:autoSpaceDN w:val="0"/>
        <w:adjustRightInd w:val="0"/>
        <w:spacing w:after="0" w:line="240" w:lineRule="auto"/>
        <w:ind w:left="360"/>
        <w:jc w:val="both"/>
        <w:rPr>
          <w:rFonts w:ascii="Times New Roman" w:hAnsi="Times New Roman" w:cs="Times New Roman"/>
          <w:sz w:val="24"/>
          <w:szCs w:val="24"/>
        </w:rPr>
      </w:pPr>
      <w:r w:rsidRPr="001A70A2">
        <w:rPr>
          <w:rFonts w:ascii="Times New Roman" w:hAnsi="Times New Roman" w:cs="Times New Roman"/>
          <w:i/>
          <w:sz w:val="24"/>
          <w:szCs w:val="24"/>
        </w:rPr>
        <w:t xml:space="preserve">Option 2 – </w:t>
      </w:r>
      <w:r w:rsidRPr="001A70A2">
        <w:rPr>
          <w:rFonts w:ascii="Times New Roman" w:hAnsi="Times New Roman" w:cs="Times New Roman"/>
          <w:sz w:val="24"/>
          <w:szCs w:val="24"/>
        </w:rPr>
        <w:t xml:space="preserve">The Company can go for restructuring under the Companies Act 2013. But this is long and time </w:t>
      </w:r>
      <w:r>
        <w:rPr>
          <w:rFonts w:ascii="Times New Roman" w:hAnsi="Times New Roman" w:cs="Times New Roman"/>
          <w:sz w:val="24"/>
          <w:szCs w:val="24"/>
        </w:rPr>
        <w:t>consuming</w:t>
      </w:r>
      <w:r w:rsidRPr="001A70A2">
        <w:rPr>
          <w:rFonts w:ascii="Times New Roman" w:hAnsi="Times New Roman" w:cs="Times New Roman"/>
          <w:sz w:val="24"/>
          <w:szCs w:val="24"/>
        </w:rPr>
        <w:t xml:space="preserve"> exercise where it is </w:t>
      </w:r>
      <w:r>
        <w:rPr>
          <w:rFonts w:ascii="Times New Roman" w:hAnsi="Times New Roman" w:cs="Times New Roman"/>
          <w:sz w:val="24"/>
          <w:szCs w:val="24"/>
        </w:rPr>
        <w:t>difficult</w:t>
      </w:r>
      <w:r w:rsidRPr="001A70A2">
        <w:rPr>
          <w:rFonts w:ascii="Times New Roman" w:hAnsi="Times New Roman" w:cs="Times New Roman"/>
          <w:sz w:val="24"/>
          <w:szCs w:val="24"/>
        </w:rPr>
        <w:t xml:space="preserve"> to bring all the creditors on the same boat. Moreover, the process requires Court approval, and any complica</w:t>
      </w:r>
      <w:r>
        <w:rPr>
          <w:rFonts w:ascii="Times New Roman" w:hAnsi="Times New Roman" w:cs="Times New Roman"/>
          <w:sz w:val="24"/>
          <w:szCs w:val="24"/>
        </w:rPr>
        <w:t>tions</w:t>
      </w:r>
      <w:r w:rsidRPr="001A70A2">
        <w:rPr>
          <w:rFonts w:ascii="Times New Roman" w:hAnsi="Times New Roman" w:cs="Times New Roman"/>
          <w:sz w:val="24"/>
          <w:szCs w:val="24"/>
        </w:rPr>
        <w:t xml:space="preserve"> may result in court cases being dragged </w:t>
      </w:r>
      <w:r>
        <w:rPr>
          <w:rFonts w:ascii="Times New Roman" w:hAnsi="Times New Roman" w:cs="Times New Roman"/>
          <w:sz w:val="24"/>
          <w:szCs w:val="24"/>
        </w:rPr>
        <w:t xml:space="preserve">on </w:t>
      </w:r>
      <w:r w:rsidRPr="001A70A2">
        <w:rPr>
          <w:rFonts w:ascii="Times New Roman" w:hAnsi="Times New Roman" w:cs="Times New Roman"/>
          <w:sz w:val="24"/>
          <w:szCs w:val="24"/>
        </w:rPr>
        <w:t>for years.</w:t>
      </w:r>
    </w:p>
    <w:p w:rsidR="0070455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704553" w:rsidRPr="001A70A2" w:rsidRDefault="00BD2193" w:rsidP="00A87168">
      <w:pPr>
        <w:pStyle w:val="ListParagraph"/>
        <w:numPr>
          <w:ilvl w:val="0"/>
          <w:numId w:val="9"/>
        </w:numPr>
        <w:autoSpaceDE w:val="0"/>
        <w:autoSpaceDN w:val="0"/>
        <w:adjustRightInd w:val="0"/>
        <w:spacing w:after="0" w:line="240" w:lineRule="auto"/>
        <w:ind w:left="360"/>
        <w:jc w:val="both"/>
        <w:rPr>
          <w:rFonts w:ascii="Times New Roman" w:hAnsi="Times New Roman" w:cs="Times New Roman"/>
          <w:sz w:val="24"/>
          <w:szCs w:val="24"/>
        </w:rPr>
      </w:pPr>
      <w:r w:rsidRPr="001A70A2">
        <w:rPr>
          <w:rFonts w:ascii="Times New Roman" w:hAnsi="Times New Roman" w:cs="Times New Roman"/>
          <w:i/>
          <w:sz w:val="24"/>
          <w:szCs w:val="24"/>
        </w:rPr>
        <w:t xml:space="preserve">Option 3 – </w:t>
      </w:r>
      <w:r w:rsidRPr="001A70A2">
        <w:rPr>
          <w:rFonts w:ascii="Times New Roman" w:hAnsi="Times New Roman" w:cs="Times New Roman"/>
          <w:sz w:val="24"/>
          <w:szCs w:val="24"/>
        </w:rPr>
        <w:t xml:space="preserve">The Company may take refuge of SICA. However, it can do so, only when as per the law’s definition, the company is </w:t>
      </w:r>
      <w:r>
        <w:rPr>
          <w:rFonts w:ascii="Times New Roman" w:hAnsi="Times New Roman" w:cs="Times New Roman"/>
          <w:sz w:val="24"/>
          <w:szCs w:val="24"/>
        </w:rPr>
        <w:t>“</w:t>
      </w:r>
      <w:r w:rsidRPr="001A70A2">
        <w:rPr>
          <w:rFonts w:ascii="Times New Roman" w:hAnsi="Times New Roman" w:cs="Times New Roman"/>
          <w:sz w:val="24"/>
          <w:szCs w:val="24"/>
        </w:rPr>
        <w:t>sick</w:t>
      </w:r>
      <w:r>
        <w:rPr>
          <w:rFonts w:ascii="Times New Roman" w:hAnsi="Times New Roman" w:cs="Times New Roman"/>
          <w:sz w:val="24"/>
          <w:szCs w:val="24"/>
        </w:rPr>
        <w:t>”</w:t>
      </w:r>
      <w:r w:rsidRPr="001A70A2">
        <w:rPr>
          <w:rFonts w:ascii="Times New Roman" w:hAnsi="Times New Roman" w:cs="Times New Roman"/>
          <w:sz w:val="24"/>
          <w:szCs w:val="24"/>
        </w:rPr>
        <w:t xml:space="preserve"> i.e., the Company’s losses exceed its </w:t>
      </w:r>
      <w:r>
        <w:rPr>
          <w:rFonts w:ascii="Times New Roman" w:hAnsi="Times New Roman" w:cs="Times New Roman"/>
          <w:sz w:val="24"/>
          <w:szCs w:val="24"/>
        </w:rPr>
        <w:t>n</w:t>
      </w:r>
      <w:r w:rsidRPr="001A70A2">
        <w:rPr>
          <w:rFonts w:ascii="Times New Roman" w:hAnsi="Times New Roman" w:cs="Times New Roman"/>
          <w:sz w:val="24"/>
          <w:szCs w:val="24"/>
        </w:rPr>
        <w:t>etworth. This stage is too late and it practically makes any meaningful restructuring or reconstruction impossib</w:t>
      </w:r>
      <w:r>
        <w:rPr>
          <w:rFonts w:ascii="Times New Roman" w:hAnsi="Times New Roman" w:cs="Times New Roman"/>
          <w:sz w:val="24"/>
          <w:szCs w:val="24"/>
        </w:rPr>
        <w:t>le</w:t>
      </w:r>
      <w:r w:rsidRPr="001A70A2">
        <w:rPr>
          <w:rFonts w:ascii="Times New Roman" w:hAnsi="Times New Roman" w:cs="Times New Roman"/>
          <w:sz w:val="24"/>
          <w:szCs w:val="24"/>
        </w:rPr>
        <w:t>.</w:t>
      </w:r>
    </w:p>
    <w:p w:rsidR="00704553" w:rsidRPr="00704553" w:rsidRDefault="00BD2193" w:rsidP="00A87168">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p>
    <w:p w:rsidR="00DE01E8" w:rsidRPr="001A70A2" w:rsidRDefault="00BD2193" w:rsidP="00A87168">
      <w:pPr>
        <w:pStyle w:val="ListParagraph"/>
        <w:numPr>
          <w:ilvl w:val="0"/>
          <w:numId w:val="9"/>
        </w:numPr>
        <w:autoSpaceDE w:val="0"/>
        <w:autoSpaceDN w:val="0"/>
        <w:adjustRightInd w:val="0"/>
        <w:spacing w:after="0" w:line="240" w:lineRule="auto"/>
        <w:ind w:left="360"/>
        <w:jc w:val="both"/>
        <w:rPr>
          <w:rFonts w:ascii="Times New Roman" w:hAnsi="Times New Roman" w:cs="Times New Roman"/>
          <w:sz w:val="24"/>
          <w:szCs w:val="24"/>
        </w:rPr>
      </w:pPr>
      <w:r w:rsidRPr="001A70A2">
        <w:rPr>
          <w:rFonts w:ascii="Times New Roman" w:hAnsi="Times New Roman" w:cs="Times New Roman"/>
          <w:i/>
          <w:sz w:val="24"/>
          <w:szCs w:val="24"/>
        </w:rPr>
        <w:t>Option 4 -</w:t>
      </w:r>
      <w:r w:rsidRPr="001A70A2">
        <w:rPr>
          <w:rFonts w:ascii="Times New Roman" w:hAnsi="Times New Roman" w:cs="Times New Roman"/>
          <w:sz w:val="24"/>
          <w:szCs w:val="24"/>
        </w:rPr>
        <w:t xml:space="preserve"> Another way out could be for </w:t>
      </w:r>
      <w:r>
        <w:rPr>
          <w:rFonts w:ascii="Times New Roman" w:hAnsi="Times New Roman" w:cs="Times New Roman"/>
          <w:sz w:val="24"/>
          <w:szCs w:val="24"/>
        </w:rPr>
        <w:t xml:space="preserve">the </w:t>
      </w:r>
      <w:r w:rsidRPr="001A70A2">
        <w:rPr>
          <w:rFonts w:ascii="Times New Roman" w:hAnsi="Times New Roman" w:cs="Times New Roman"/>
          <w:sz w:val="24"/>
          <w:szCs w:val="24"/>
        </w:rPr>
        <w:t xml:space="preserve">Company to cease its operations and to undergo winding up or go for distress sale. This has the obvious defect of </w:t>
      </w:r>
      <w:r>
        <w:rPr>
          <w:rFonts w:ascii="Times New Roman" w:hAnsi="Times New Roman" w:cs="Times New Roman"/>
          <w:sz w:val="24"/>
          <w:szCs w:val="24"/>
        </w:rPr>
        <w:t>causing a</w:t>
      </w:r>
      <w:r w:rsidRPr="001A70A2">
        <w:rPr>
          <w:rFonts w:ascii="Times New Roman" w:hAnsi="Times New Roman" w:cs="Times New Roman"/>
          <w:sz w:val="24"/>
          <w:szCs w:val="24"/>
        </w:rPr>
        <w:t xml:space="preserve"> </w:t>
      </w:r>
      <w:r>
        <w:rPr>
          <w:rFonts w:ascii="Times New Roman" w:hAnsi="Times New Roman" w:cs="Times New Roman"/>
          <w:sz w:val="24"/>
          <w:szCs w:val="24"/>
        </w:rPr>
        <w:t>premature</w:t>
      </w:r>
      <w:r w:rsidRPr="001A70A2">
        <w:rPr>
          <w:rFonts w:ascii="Times New Roman" w:hAnsi="Times New Roman" w:cs="Times New Roman"/>
          <w:sz w:val="24"/>
          <w:szCs w:val="24"/>
        </w:rPr>
        <w:t xml:space="preserve"> death </w:t>
      </w:r>
      <w:r>
        <w:rPr>
          <w:rFonts w:ascii="Times New Roman" w:hAnsi="Times New Roman" w:cs="Times New Roman"/>
          <w:sz w:val="24"/>
          <w:szCs w:val="24"/>
        </w:rPr>
        <w:t>of</w:t>
      </w:r>
      <w:r w:rsidRPr="001A70A2">
        <w:rPr>
          <w:rFonts w:ascii="Times New Roman" w:hAnsi="Times New Roman" w:cs="Times New Roman"/>
          <w:sz w:val="24"/>
          <w:szCs w:val="24"/>
        </w:rPr>
        <w:t xml:space="preserve"> the company’s existence. Moreover, the value that may be realized by winding up is usually quite low and unable to cover </w:t>
      </w:r>
      <w:r>
        <w:rPr>
          <w:rFonts w:ascii="Times New Roman" w:hAnsi="Times New Roman" w:cs="Times New Roman"/>
          <w:sz w:val="24"/>
          <w:szCs w:val="24"/>
        </w:rPr>
        <w:t>the</w:t>
      </w:r>
      <w:r w:rsidRPr="001A70A2">
        <w:rPr>
          <w:rFonts w:ascii="Times New Roman" w:hAnsi="Times New Roman" w:cs="Times New Roman"/>
          <w:sz w:val="24"/>
          <w:szCs w:val="24"/>
        </w:rPr>
        <w:t xml:space="preserve"> amount which the company owes. </w:t>
      </w:r>
    </w:p>
    <w:p w:rsidR="00DE01E8" w:rsidRPr="005F330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DE01E8" w:rsidRDefault="00BD2193" w:rsidP="00A87168">
      <w:pPr>
        <w:autoSpaceDE w:val="0"/>
        <w:autoSpaceDN w:val="0"/>
        <w:adjustRightInd w:val="0"/>
        <w:spacing w:after="0" w:line="240" w:lineRule="auto"/>
        <w:jc w:val="both"/>
        <w:rPr>
          <w:rFonts w:ascii="Times New Roman" w:hAnsi="Times New Roman" w:cs="Times New Roman"/>
          <w:sz w:val="24"/>
          <w:szCs w:val="24"/>
        </w:rPr>
      </w:pPr>
      <w:r w:rsidRPr="005F3303">
        <w:rPr>
          <w:rFonts w:ascii="Times New Roman" w:hAnsi="Times New Roman" w:cs="Times New Roman"/>
          <w:sz w:val="24"/>
          <w:szCs w:val="24"/>
        </w:rPr>
        <w:t xml:space="preserve">At this point, </w:t>
      </w:r>
      <w:r>
        <w:rPr>
          <w:rFonts w:ascii="Times New Roman" w:hAnsi="Times New Roman" w:cs="Times New Roman"/>
          <w:sz w:val="24"/>
          <w:szCs w:val="24"/>
        </w:rPr>
        <w:t xml:space="preserve">the </w:t>
      </w:r>
      <w:r w:rsidRPr="005F3303">
        <w:rPr>
          <w:rFonts w:ascii="Times New Roman" w:hAnsi="Times New Roman" w:cs="Times New Roman"/>
          <w:sz w:val="24"/>
          <w:szCs w:val="24"/>
        </w:rPr>
        <w:t xml:space="preserve">Company </w:t>
      </w:r>
      <w:r>
        <w:rPr>
          <w:rFonts w:ascii="Times New Roman" w:hAnsi="Times New Roman" w:cs="Times New Roman"/>
          <w:sz w:val="24"/>
          <w:szCs w:val="24"/>
        </w:rPr>
        <w:t>can</w:t>
      </w:r>
      <w:r w:rsidRPr="005F3303">
        <w:rPr>
          <w:rFonts w:ascii="Times New Roman" w:hAnsi="Times New Roman" w:cs="Times New Roman"/>
          <w:sz w:val="24"/>
          <w:szCs w:val="24"/>
        </w:rPr>
        <w:t xml:space="preserve"> consider a structured plan to re-negotiate the terms of its current debt with the lenders. </w:t>
      </w:r>
      <w:r>
        <w:rPr>
          <w:rFonts w:ascii="Times New Roman" w:hAnsi="Times New Roman" w:cs="Times New Roman"/>
          <w:sz w:val="24"/>
          <w:szCs w:val="24"/>
        </w:rPr>
        <w:t xml:space="preserve">This will give a breathing space to the Company provided the lenders form a significant portion of the creditors. Further, CDR is also a pro-borrower process in comparison to the existing laws in India which tend to be pro-creditors.  </w:t>
      </w:r>
    </w:p>
    <w:p w:rsidR="0070455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6037C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DE01E8" w:rsidRPr="005F3303" w:rsidRDefault="00BD2193" w:rsidP="00A87168">
      <w:pPr>
        <w:autoSpaceDE w:val="0"/>
        <w:autoSpaceDN w:val="0"/>
        <w:adjustRightInd w:val="0"/>
        <w:spacing w:after="0" w:line="240" w:lineRule="auto"/>
        <w:jc w:val="both"/>
        <w:rPr>
          <w:rFonts w:ascii="Times New Roman" w:hAnsi="Times New Roman" w:cs="Times New Roman"/>
          <w:i/>
          <w:sz w:val="24"/>
          <w:szCs w:val="24"/>
        </w:rPr>
      </w:pPr>
      <w:r w:rsidRPr="005F3303">
        <w:rPr>
          <w:rFonts w:ascii="Times New Roman" w:hAnsi="Times New Roman" w:cs="Times New Roman"/>
          <w:i/>
          <w:sz w:val="24"/>
          <w:szCs w:val="24"/>
        </w:rPr>
        <w:t xml:space="preserve">From </w:t>
      </w:r>
      <w:r>
        <w:rPr>
          <w:rFonts w:ascii="Times New Roman" w:hAnsi="Times New Roman" w:cs="Times New Roman"/>
          <w:i/>
          <w:sz w:val="24"/>
          <w:szCs w:val="24"/>
        </w:rPr>
        <w:t>Lenders A,B,&amp; C’s point of view</w:t>
      </w:r>
    </w:p>
    <w:p w:rsidR="00DE01E8" w:rsidRPr="005F330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DE01E8"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Under </w:t>
      </w:r>
      <w:r w:rsidRPr="005F3303">
        <w:rPr>
          <w:rFonts w:ascii="Times New Roman" w:hAnsi="Times New Roman" w:cs="Times New Roman"/>
          <w:sz w:val="24"/>
          <w:szCs w:val="24"/>
        </w:rPr>
        <w:t xml:space="preserve">CDR </w:t>
      </w:r>
      <w:r>
        <w:rPr>
          <w:rFonts w:ascii="Times New Roman" w:hAnsi="Times New Roman" w:cs="Times New Roman"/>
          <w:sz w:val="24"/>
          <w:szCs w:val="24"/>
        </w:rPr>
        <w:t xml:space="preserve">framework, incentives are given in the form of regulatory forbearances to give the </w:t>
      </w:r>
      <w:r w:rsidRPr="005F3303">
        <w:rPr>
          <w:rFonts w:ascii="Times New Roman" w:hAnsi="Times New Roman" w:cs="Times New Roman"/>
          <w:sz w:val="24"/>
          <w:szCs w:val="24"/>
        </w:rPr>
        <w:t>lenders a unique opportunity to avoid excess loss provisioning in their books against non</w:t>
      </w:r>
      <w:r>
        <w:rPr>
          <w:rFonts w:ascii="Times New Roman" w:hAnsi="Times New Roman" w:cs="Times New Roman"/>
          <w:sz w:val="24"/>
          <w:szCs w:val="24"/>
        </w:rPr>
        <w:t>-performing loans</w:t>
      </w:r>
      <w:r w:rsidRPr="005F3303">
        <w:rPr>
          <w:rFonts w:ascii="Times New Roman" w:hAnsi="Times New Roman" w:cs="Times New Roman"/>
          <w:sz w:val="24"/>
          <w:szCs w:val="24"/>
        </w:rPr>
        <w:t xml:space="preserve"> (NP</w:t>
      </w:r>
      <w:r>
        <w:rPr>
          <w:rFonts w:ascii="Times New Roman" w:hAnsi="Times New Roman" w:cs="Times New Roman"/>
          <w:sz w:val="24"/>
          <w:szCs w:val="24"/>
        </w:rPr>
        <w:t>L</w:t>
      </w:r>
      <w:r w:rsidRPr="005F3303">
        <w:rPr>
          <w:rFonts w:ascii="Times New Roman" w:hAnsi="Times New Roman" w:cs="Times New Roman"/>
          <w:sz w:val="24"/>
          <w:szCs w:val="24"/>
        </w:rPr>
        <w:t xml:space="preserve">s) arising out of corporate accounts. Further, the lenders </w:t>
      </w:r>
      <w:r>
        <w:rPr>
          <w:rFonts w:ascii="Times New Roman" w:hAnsi="Times New Roman" w:cs="Times New Roman"/>
          <w:sz w:val="24"/>
          <w:szCs w:val="24"/>
        </w:rPr>
        <w:t xml:space="preserve">are more in favour of </w:t>
      </w:r>
      <w:r w:rsidRPr="005F3303">
        <w:rPr>
          <w:rFonts w:ascii="Times New Roman" w:hAnsi="Times New Roman" w:cs="Times New Roman"/>
          <w:sz w:val="24"/>
          <w:szCs w:val="24"/>
        </w:rPr>
        <w:t xml:space="preserve">recovering the principle amount lent to </w:t>
      </w:r>
      <w:r>
        <w:rPr>
          <w:rFonts w:ascii="Times New Roman" w:hAnsi="Times New Roman" w:cs="Times New Roman"/>
          <w:sz w:val="24"/>
          <w:szCs w:val="24"/>
        </w:rPr>
        <w:t>the c</w:t>
      </w:r>
      <w:r w:rsidRPr="005F3303">
        <w:rPr>
          <w:rFonts w:ascii="Times New Roman" w:hAnsi="Times New Roman" w:cs="Times New Roman"/>
          <w:sz w:val="24"/>
          <w:szCs w:val="24"/>
        </w:rPr>
        <w:t xml:space="preserve">ompany along with returns on that investment. </w:t>
      </w:r>
    </w:p>
    <w:p w:rsidR="00DE01E8" w:rsidRPr="005F330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DE01E8" w:rsidRPr="001B16B8" w:rsidRDefault="00BD2193" w:rsidP="00A87168">
      <w:pPr>
        <w:autoSpaceDE w:val="0"/>
        <w:autoSpaceDN w:val="0"/>
        <w:adjustRightInd w:val="0"/>
        <w:spacing w:after="0" w:line="240" w:lineRule="auto"/>
        <w:jc w:val="both"/>
        <w:rPr>
          <w:rFonts w:ascii="Times New Roman" w:hAnsi="Times New Roman" w:cs="Times New Roman"/>
          <w:sz w:val="24"/>
          <w:szCs w:val="24"/>
          <w:highlight w:val="yellow"/>
        </w:rPr>
      </w:pPr>
      <w:r w:rsidRPr="005F3303">
        <w:rPr>
          <w:rFonts w:ascii="Times New Roman" w:hAnsi="Times New Roman" w:cs="Times New Roman"/>
          <w:sz w:val="24"/>
          <w:szCs w:val="24"/>
        </w:rPr>
        <w:t xml:space="preserve">Lenders or other creditors </w:t>
      </w:r>
      <w:r>
        <w:rPr>
          <w:rFonts w:ascii="Times New Roman" w:hAnsi="Times New Roman" w:cs="Times New Roman"/>
          <w:sz w:val="24"/>
          <w:szCs w:val="24"/>
        </w:rPr>
        <w:t xml:space="preserve">have an option to </w:t>
      </w:r>
      <w:r w:rsidRPr="005F3303">
        <w:rPr>
          <w:rFonts w:ascii="Times New Roman" w:hAnsi="Times New Roman" w:cs="Times New Roman"/>
          <w:sz w:val="24"/>
          <w:szCs w:val="24"/>
        </w:rPr>
        <w:t>force th</w:t>
      </w:r>
      <w:r>
        <w:rPr>
          <w:rFonts w:ascii="Times New Roman" w:hAnsi="Times New Roman" w:cs="Times New Roman"/>
          <w:sz w:val="24"/>
          <w:szCs w:val="24"/>
        </w:rPr>
        <w:t>e company to go for liquidation</w:t>
      </w:r>
      <w:r w:rsidRPr="005F3303">
        <w:rPr>
          <w:rFonts w:ascii="Times New Roman" w:hAnsi="Times New Roman" w:cs="Times New Roman"/>
          <w:sz w:val="24"/>
          <w:szCs w:val="24"/>
        </w:rPr>
        <w:t>.</w:t>
      </w:r>
      <w:r>
        <w:rPr>
          <w:rFonts w:ascii="Times New Roman" w:hAnsi="Times New Roman" w:cs="Times New Roman"/>
          <w:sz w:val="24"/>
          <w:szCs w:val="24"/>
        </w:rPr>
        <w:t xml:space="preserve"> </w:t>
      </w:r>
      <w:r w:rsidRPr="0058509C">
        <w:rPr>
          <w:rFonts w:ascii="Times New Roman" w:hAnsi="Times New Roman" w:cs="Times New Roman"/>
          <w:sz w:val="24"/>
          <w:szCs w:val="24"/>
        </w:rPr>
        <w:t>However, liquidation proceedings usually yield low value</w:t>
      </w:r>
      <w:r>
        <w:rPr>
          <w:rFonts w:ascii="Times New Roman" w:hAnsi="Times New Roman" w:cs="Times New Roman"/>
          <w:sz w:val="24"/>
          <w:szCs w:val="24"/>
        </w:rPr>
        <w:t>s</w:t>
      </w:r>
      <w:r w:rsidRPr="0058509C">
        <w:rPr>
          <w:rFonts w:ascii="Times New Roman" w:hAnsi="Times New Roman" w:cs="Times New Roman"/>
          <w:sz w:val="24"/>
          <w:szCs w:val="24"/>
        </w:rPr>
        <w:t xml:space="preserve"> and hence low recovery for creditors. Therefore, CDR becomes an instrument for the lenders, to aid the transformation of otherwise bad loans into possible productive assets.</w:t>
      </w:r>
    </w:p>
    <w:p w:rsidR="00DE01E8" w:rsidRPr="001B16B8" w:rsidRDefault="004B1BED" w:rsidP="00A87168">
      <w:pPr>
        <w:autoSpaceDE w:val="0"/>
        <w:autoSpaceDN w:val="0"/>
        <w:adjustRightInd w:val="0"/>
        <w:spacing w:after="0" w:line="240" w:lineRule="auto"/>
        <w:jc w:val="both"/>
        <w:rPr>
          <w:rFonts w:ascii="Times New Roman" w:hAnsi="Times New Roman" w:cs="Times New Roman"/>
          <w:sz w:val="24"/>
          <w:szCs w:val="24"/>
          <w:highlight w:val="yellow"/>
        </w:rPr>
      </w:pPr>
    </w:p>
    <w:p w:rsidR="00DE01E8"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sidRPr="0058509C">
        <w:rPr>
          <w:rFonts w:ascii="Times New Roman" w:hAnsi="Times New Roman" w:cs="Times New Roman"/>
          <w:sz w:val="24"/>
          <w:szCs w:val="24"/>
        </w:rPr>
        <w:t xml:space="preserve">However, does this justify the need to support their restructuring? The answer is an emphatic affirmative with a caveat – the decision should be based on a thorough examination on a case to case basis. Only if the need for restructuring is legitimate, and there is a good reason to believe that the corporation may be revived and suitably backed </w:t>
      </w:r>
      <w:r w:rsidRPr="006037C3">
        <w:rPr>
          <w:rFonts w:ascii="Times New Roman" w:hAnsi="Times New Roman" w:cs="Times New Roman"/>
          <w:sz w:val="24"/>
          <w:szCs w:val="24"/>
        </w:rPr>
        <w:t>by a viability study, a loan must be taken up for restructuring. This is a must for the safety of the money which has been lent by the investors, i.e. the financial institutions, along with the interests of those directly associated with the working of the company.</w:t>
      </w:r>
    </w:p>
    <w:p w:rsidR="000E32D5" w:rsidRPr="005F3303" w:rsidRDefault="004B1BED" w:rsidP="00A87168">
      <w:pPr>
        <w:autoSpaceDE w:val="0"/>
        <w:autoSpaceDN w:val="0"/>
        <w:adjustRightInd w:val="0"/>
        <w:spacing w:after="0" w:line="240" w:lineRule="auto"/>
        <w:jc w:val="both"/>
        <w:rPr>
          <w:rStyle w:val="apple-converted-space"/>
        </w:rPr>
      </w:pPr>
    </w:p>
    <w:p w:rsidR="00C452D3" w:rsidRPr="003D718A" w:rsidRDefault="00BD2193" w:rsidP="00A87168">
      <w:pPr>
        <w:spacing w:line="240" w:lineRule="auto"/>
        <w:jc w:val="both"/>
        <w:rPr>
          <w:rStyle w:val="apple-converted-space"/>
        </w:rPr>
      </w:pPr>
      <w:r>
        <w:rPr>
          <w:rStyle w:val="apple-converted-space"/>
          <w:rFonts w:ascii="Times New Roman" w:hAnsi="Times New Roman" w:cs="Times New Roman"/>
          <w:b/>
          <w:i/>
          <w:sz w:val="24"/>
          <w:szCs w:val="24"/>
          <w:shd w:val="clear" w:color="auto" w:fill="FFFFFF"/>
        </w:rPr>
        <w:t xml:space="preserve">Genesis of </w:t>
      </w:r>
      <w:r w:rsidRPr="003D718A">
        <w:rPr>
          <w:rStyle w:val="apple-converted-space"/>
          <w:rFonts w:ascii="Times New Roman" w:hAnsi="Times New Roman" w:cs="Times New Roman"/>
          <w:b/>
          <w:i/>
          <w:sz w:val="24"/>
          <w:szCs w:val="24"/>
          <w:shd w:val="clear" w:color="auto" w:fill="FFFFFF"/>
        </w:rPr>
        <w:t>C</w:t>
      </w:r>
      <w:r>
        <w:rPr>
          <w:rStyle w:val="apple-converted-space"/>
          <w:rFonts w:ascii="Times New Roman" w:hAnsi="Times New Roman" w:cs="Times New Roman"/>
          <w:b/>
          <w:i/>
          <w:sz w:val="24"/>
          <w:szCs w:val="24"/>
          <w:shd w:val="clear" w:color="auto" w:fill="FFFFFF"/>
        </w:rPr>
        <w:t>DR</w:t>
      </w:r>
      <w:r w:rsidRPr="003D718A">
        <w:rPr>
          <w:rStyle w:val="apple-converted-space"/>
          <w:rFonts w:ascii="Times New Roman" w:hAnsi="Times New Roman" w:cs="Times New Roman"/>
          <w:b/>
          <w:i/>
          <w:sz w:val="24"/>
          <w:szCs w:val="24"/>
          <w:shd w:val="clear" w:color="auto" w:fill="FFFFFF"/>
        </w:rPr>
        <w:t xml:space="preserve"> </w:t>
      </w:r>
      <w:r>
        <w:rPr>
          <w:rStyle w:val="apple-converted-space"/>
          <w:rFonts w:ascii="Times New Roman" w:hAnsi="Times New Roman" w:cs="Times New Roman"/>
          <w:b/>
          <w:i/>
          <w:sz w:val="24"/>
          <w:szCs w:val="24"/>
          <w:shd w:val="clear" w:color="auto" w:fill="FFFFFF"/>
        </w:rPr>
        <w:t>m</w:t>
      </w:r>
      <w:r w:rsidRPr="003D718A">
        <w:rPr>
          <w:rStyle w:val="apple-converted-space"/>
          <w:rFonts w:ascii="Times New Roman" w:hAnsi="Times New Roman" w:cs="Times New Roman"/>
          <w:b/>
          <w:i/>
          <w:sz w:val="24"/>
          <w:szCs w:val="24"/>
          <w:shd w:val="clear" w:color="auto" w:fill="FFFFFF"/>
        </w:rPr>
        <w:t xml:space="preserve">echanism </w:t>
      </w:r>
      <w:r>
        <w:rPr>
          <w:rStyle w:val="apple-converted-space"/>
          <w:rFonts w:ascii="Times New Roman" w:hAnsi="Times New Roman" w:cs="Times New Roman"/>
          <w:b/>
          <w:i/>
          <w:sz w:val="24"/>
          <w:szCs w:val="24"/>
          <w:shd w:val="clear" w:color="auto" w:fill="FFFFFF"/>
        </w:rPr>
        <w:t>i</w:t>
      </w:r>
      <w:r w:rsidRPr="003D718A">
        <w:rPr>
          <w:rStyle w:val="apple-converted-space"/>
          <w:rFonts w:ascii="Times New Roman" w:hAnsi="Times New Roman" w:cs="Times New Roman"/>
          <w:b/>
          <w:i/>
          <w:sz w:val="24"/>
          <w:szCs w:val="24"/>
          <w:shd w:val="clear" w:color="auto" w:fill="FFFFFF"/>
        </w:rPr>
        <w:t xml:space="preserve">n India: From </w:t>
      </w:r>
      <w:r>
        <w:rPr>
          <w:rStyle w:val="apple-converted-space"/>
          <w:rFonts w:ascii="Times New Roman" w:hAnsi="Times New Roman" w:cs="Times New Roman"/>
          <w:b/>
          <w:i/>
          <w:sz w:val="24"/>
          <w:szCs w:val="24"/>
          <w:shd w:val="clear" w:color="auto" w:fill="FFFFFF"/>
        </w:rPr>
        <w:t>c</w:t>
      </w:r>
      <w:r w:rsidRPr="003D718A">
        <w:rPr>
          <w:rStyle w:val="apple-converted-space"/>
          <w:rFonts w:ascii="Times New Roman" w:hAnsi="Times New Roman" w:cs="Times New Roman"/>
          <w:b/>
          <w:i/>
          <w:sz w:val="24"/>
          <w:szCs w:val="24"/>
          <w:shd w:val="clear" w:color="auto" w:fill="FFFFFF"/>
        </w:rPr>
        <w:t xml:space="preserve">orporate </w:t>
      </w:r>
      <w:r>
        <w:rPr>
          <w:rStyle w:val="apple-converted-space"/>
          <w:rFonts w:ascii="Times New Roman" w:hAnsi="Times New Roman" w:cs="Times New Roman"/>
          <w:b/>
          <w:i/>
          <w:sz w:val="24"/>
          <w:szCs w:val="24"/>
          <w:shd w:val="clear" w:color="auto" w:fill="FFFFFF"/>
        </w:rPr>
        <w:t>r</w:t>
      </w:r>
      <w:r w:rsidRPr="003D718A">
        <w:rPr>
          <w:rStyle w:val="apple-converted-space"/>
          <w:rFonts w:ascii="Times New Roman" w:hAnsi="Times New Roman" w:cs="Times New Roman"/>
          <w:b/>
          <w:i/>
          <w:sz w:val="24"/>
          <w:szCs w:val="24"/>
          <w:shd w:val="clear" w:color="auto" w:fill="FFFFFF"/>
        </w:rPr>
        <w:t xml:space="preserve">estructuring </w:t>
      </w:r>
      <w:r>
        <w:rPr>
          <w:rStyle w:val="apple-converted-space"/>
          <w:rFonts w:ascii="Times New Roman" w:hAnsi="Times New Roman" w:cs="Times New Roman"/>
          <w:b/>
          <w:i/>
          <w:sz w:val="24"/>
          <w:szCs w:val="24"/>
          <w:shd w:val="clear" w:color="auto" w:fill="FFFFFF"/>
        </w:rPr>
        <w:t>i</w:t>
      </w:r>
      <w:r w:rsidRPr="003D718A">
        <w:rPr>
          <w:rStyle w:val="apple-converted-space"/>
          <w:rFonts w:ascii="Times New Roman" w:hAnsi="Times New Roman" w:cs="Times New Roman"/>
          <w:b/>
          <w:i/>
          <w:sz w:val="24"/>
          <w:szCs w:val="24"/>
          <w:shd w:val="clear" w:color="auto" w:fill="FFFFFF"/>
        </w:rPr>
        <w:t>n U</w:t>
      </w:r>
      <w:r>
        <w:rPr>
          <w:rStyle w:val="apple-converted-space"/>
          <w:rFonts w:ascii="Times New Roman" w:hAnsi="Times New Roman" w:cs="Times New Roman"/>
          <w:b/>
          <w:i/>
          <w:sz w:val="24"/>
          <w:szCs w:val="24"/>
          <w:shd w:val="clear" w:color="auto" w:fill="FFFFFF"/>
        </w:rPr>
        <w:t>nited Kingdom</w:t>
      </w:r>
      <w:r w:rsidRPr="003D718A">
        <w:rPr>
          <w:rStyle w:val="apple-converted-space"/>
          <w:rFonts w:ascii="Times New Roman" w:hAnsi="Times New Roman" w:cs="Times New Roman"/>
          <w:b/>
          <w:i/>
          <w:sz w:val="24"/>
          <w:szCs w:val="24"/>
          <w:shd w:val="clear" w:color="auto" w:fill="FFFFFF"/>
        </w:rPr>
        <w:t xml:space="preserve">, </w:t>
      </w:r>
      <w:r>
        <w:rPr>
          <w:rStyle w:val="apple-converted-space"/>
          <w:rFonts w:ascii="Times New Roman" w:hAnsi="Times New Roman" w:cs="Times New Roman"/>
          <w:b/>
          <w:i/>
          <w:sz w:val="24"/>
          <w:szCs w:val="24"/>
          <w:shd w:val="clear" w:color="auto" w:fill="FFFFFF"/>
        </w:rPr>
        <w:t xml:space="preserve">Thailand </w:t>
      </w:r>
      <w:r w:rsidRPr="003D718A">
        <w:rPr>
          <w:rStyle w:val="apple-converted-space"/>
          <w:rFonts w:ascii="Times New Roman" w:hAnsi="Times New Roman" w:cs="Times New Roman"/>
          <w:b/>
          <w:i/>
          <w:sz w:val="24"/>
          <w:szCs w:val="24"/>
          <w:shd w:val="clear" w:color="auto" w:fill="FFFFFF"/>
        </w:rPr>
        <w:t xml:space="preserve">&amp; </w:t>
      </w:r>
      <w:r>
        <w:rPr>
          <w:rStyle w:val="apple-converted-space"/>
          <w:rFonts w:ascii="Times New Roman" w:hAnsi="Times New Roman" w:cs="Times New Roman"/>
          <w:b/>
          <w:i/>
          <w:sz w:val="24"/>
          <w:szCs w:val="24"/>
          <w:shd w:val="clear" w:color="auto" w:fill="FFFFFF"/>
        </w:rPr>
        <w:t>Korea</w:t>
      </w:r>
    </w:p>
    <w:p w:rsidR="00FA5487" w:rsidRPr="005F3303" w:rsidRDefault="00BD2193" w:rsidP="00A87168">
      <w:pPr>
        <w:spacing w:line="240" w:lineRule="auto"/>
        <w:jc w:val="both"/>
        <w:rPr>
          <w:rStyle w:val="apple-converted-space"/>
        </w:rPr>
      </w:pPr>
      <w:r w:rsidRPr="005F3303">
        <w:rPr>
          <w:rStyle w:val="apple-converted-space"/>
          <w:rFonts w:ascii="Times New Roman" w:hAnsi="Times New Roman" w:cs="Times New Roman"/>
          <w:sz w:val="24"/>
          <w:szCs w:val="24"/>
          <w:shd w:val="clear" w:color="auto" w:fill="FFFFFF"/>
        </w:rPr>
        <w:t xml:space="preserve">The RBI guidelines which govern the CDR system in India </w:t>
      </w:r>
      <w:r>
        <w:rPr>
          <w:rStyle w:val="apple-converted-space"/>
          <w:rFonts w:ascii="Times New Roman" w:hAnsi="Times New Roman" w:cs="Times New Roman"/>
          <w:sz w:val="24"/>
          <w:szCs w:val="24"/>
          <w:shd w:val="clear" w:color="auto" w:fill="FFFFFF"/>
        </w:rPr>
        <w:t>are based on the experiences in</w:t>
      </w:r>
      <w:r w:rsidRPr="005F3303">
        <w:rPr>
          <w:rStyle w:val="apple-converted-space"/>
          <w:rFonts w:ascii="Times New Roman" w:hAnsi="Times New Roman" w:cs="Times New Roman"/>
          <w:sz w:val="24"/>
          <w:szCs w:val="24"/>
          <w:shd w:val="clear" w:color="auto" w:fill="FFFFFF"/>
        </w:rPr>
        <w:t xml:space="preserve"> the corporate restructuring programs in countries such as the </w:t>
      </w:r>
      <w:r>
        <w:rPr>
          <w:rStyle w:val="apple-converted-space"/>
          <w:rFonts w:ascii="Times New Roman" w:hAnsi="Times New Roman" w:cs="Times New Roman"/>
          <w:sz w:val="24"/>
          <w:szCs w:val="24"/>
          <w:shd w:val="clear" w:color="auto" w:fill="FFFFFF"/>
        </w:rPr>
        <w:t>UK</w:t>
      </w:r>
      <w:r w:rsidRPr="005F3303">
        <w:rPr>
          <w:rStyle w:val="apple-converted-space"/>
          <w:rFonts w:ascii="Times New Roman" w:hAnsi="Times New Roman" w:cs="Times New Roman"/>
          <w:sz w:val="24"/>
          <w:szCs w:val="24"/>
          <w:shd w:val="clear" w:color="auto" w:fill="FFFFFF"/>
        </w:rPr>
        <w:t>, Thailand</w:t>
      </w:r>
      <w:r>
        <w:rPr>
          <w:rStyle w:val="apple-converted-space"/>
          <w:rFonts w:ascii="Times New Roman" w:hAnsi="Times New Roman" w:cs="Times New Roman"/>
          <w:sz w:val="24"/>
          <w:szCs w:val="24"/>
          <w:shd w:val="clear" w:color="auto" w:fill="FFFFFF"/>
        </w:rPr>
        <w:t>, Malaysia</w:t>
      </w:r>
      <w:r w:rsidRPr="005F3303">
        <w:rPr>
          <w:rStyle w:val="apple-converted-space"/>
          <w:rFonts w:ascii="Times New Roman" w:hAnsi="Times New Roman" w:cs="Times New Roman"/>
          <w:sz w:val="24"/>
          <w:szCs w:val="24"/>
          <w:shd w:val="clear" w:color="auto" w:fill="FFFFFF"/>
        </w:rPr>
        <w:t xml:space="preserve"> and </w:t>
      </w:r>
      <w:r>
        <w:rPr>
          <w:rStyle w:val="apple-converted-space"/>
          <w:rFonts w:ascii="Times New Roman" w:hAnsi="Times New Roman" w:cs="Times New Roman"/>
          <w:sz w:val="24"/>
          <w:szCs w:val="24"/>
          <w:shd w:val="clear" w:color="auto" w:fill="FFFFFF"/>
        </w:rPr>
        <w:t xml:space="preserve">South </w:t>
      </w:r>
      <w:r w:rsidRPr="005F3303">
        <w:rPr>
          <w:rStyle w:val="apple-converted-space"/>
          <w:rFonts w:ascii="Times New Roman" w:hAnsi="Times New Roman" w:cs="Times New Roman"/>
          <w:sz w:val="24"/>
          <w:szCs w:val="24"/>
          <w:shd w:val="clear" w:color="auto" w:fill="FFFFFF"/>
        </w:rPr>
        <w:t xml:space="preserve">Korea. The corporate restructuring practices in </w:t>
      </w:r>
      <w:r>
        <w:rPr>
          <w:rStyle w:val="apple-converted-space"/>
          <w:rFonts w:ascii="Times New Roman" w:hAnsi="Times New Roman" w:cs="Times New Roman"/>
          <w:sz w:val="24"/>
          <w:szCs w:val="24"/>
          <w:shd w:val="clear" w:color="auto" w:fill="FFFFFF"/>
        </w:rPr>
        <w:t>the above mentioned</w:t>
      </w:r>
      <w:r w:rsidRPr="005F3303">
        <w:rPr>
          <w:rStyle w:val="apple-converted-space"/>
          <w:rFonts w:ascii="Times New Roman" w:hAnsi="Times New Roman" w:cs="Times New Roman"/>
          <w:sz w:val="24"/>
          <w:szCs w:val="24"/>
          <w:shd w:val="clear" w:color="auto" w:fill="FFFFFF"/>
        </w:rPr>
        <w:t xml:space="preserve"> countries date back to the time of th</w:t>
      </w:r>
      <w:r>
        <w:rPr>
          <w:rStyle w:val="apple-converted-space"/>
          <w:rFonts w:ascii="Times New Roman" w:hAnsi="Times New Roman" w:cs="Times New Roman"/>
          <w:sz w:val="24"/>
          <w:szCs w:val="24"/>
          <w:shd w:val="clear" w:color="auto" w:fill="FFFFFF"/>
        </w:rPr>
        <w:t xml:space="preserve">eir respective economic crisis viz., </w:t>
      </w:r>
      <w:r w:rsidRPr="005F3303">
        <w:rPr>
          <w:rStyle w:val="apple-converted-space"/>
          <w:rFonts w:ascii="Times New Roman" w:hAnsi="Times New Roman" w:cs="Times New Roman"/>
          <w:sz w:val="24"/>
          <w:szCs w:val="24"/>
          <w:shd w:val="clear" w:color="auto" w:fill="FFFFFF"/>
        </w:rPr>
        <w:t>England in early 1990’s, Thailand</w:t>
      </w:r>
      <w:r>
        <w:rPr>
          <w:rStyle w:val="apple-converted-space"/>
          <w:rFonts w:ascii="Times New Roman" w:hAnsi="Times New Roman" w:cs="Times New Roman"/>
          <w:sz w:val="24"/>
          <w:szCs w:val="24"/>
          <w:shd w:val="clear" w:color="auto" w:fill="FFFFFF"/>
        </w:rPr>
        <w:t>, Malaysia</w:t>
      </w:r>
      <w:r w:rsidRPr="005F3303">
        <w:rPr>
          <w:rStyle w:val="apple-converted-space"/>
          <w:rFonts w:ascii="Times New Roman" w:hAnsi="Times New Roman" w:cs="Times New Roman"/>
          <w:sz w:val="24"/>
          <w:szCs w:val="24"/>
          <w:shd w:val="clear" w:color="auto" w:fill="FFFFFF"/>
        </w:rPr>
        <w:t xml:space="preserve"> and </w:t>
      </w:r>
      <w:r>
        <w:rPr>
          <w:rStyle w:val="apple-converted-space"/>
          <w:rFonts w:ascii="Times New Roman" w:hAnsi="Times New Roman" w:cs="Times New Roman"/>
          <w:sz w:val="24"/>
          <w:szCs w:val="24"/>
          <w:shd w:val="clear" w:color="auto" w:fill="FFFFFF"/>
        </w:rPr>
        <w:t xml:space="preserve">South </w:t>
      </w:r>
      <w:r w:rsidRPr="005F3303">
        <w:rPr>
          <w:rStyle w:val="apple-converted-space"/>
          <w:rFonts w:ascii="Times New Roman" w:hAnsi="Times New Roman" w:cs="Times New Roman"/>
          <w:sz w:val="24"/>
          <w:szCs w:val="24"/>
          <w:shd w:val="clear" w:color="auto" w:fill="FFFFFF"/>
        </w:rPr>
        <w:t>Korea around 1997-1998</w:t>
      </w:r>
      <w:r>
        <w:rPr>
          <w:rStyle w:val="apple-converted-space"/>
          <w:rFonts w:ascii="Times New Roman" w:hAnsi="Times New Roman" w:cs="Times New Roman"/>
          <w:sz w:val="24"/>
          <w:szCs w:val="24"/>
          <w:shd w:val="clear" w:color="auto" w:fill="FFFFFF"/>
        </w:rPr>
        <w:t xml:space="preserve"> (Asian Crisis).</w:t>
      </w:r>
    </w:p>
    <w:p w:rsidR="00FD1DDC" w:rsidRPr="005F3303" w:rsidRDefault="00BD2193" w:rsidP="00A87168">
      <w:pPr>
        <w:spacing w:line="240" w:lineRule="auto"/>
        <w:jc w:val="both"/>
        <w:rPr>
          <w:rStyle w:val="apple-converted-space"/>
        </w:rPr>
      </w:pPr>
      <w:r w:rsidRPr="005F3303">
        <w:rPr>
          <w:rStyle w:val="apple-converted-space"/>
          <w:rFonts w:ascii="Times New Roman" w:hAnsi="Times New Roman" w:cs="Times New Roman"/>
          <w:sz w:val="24"/>
          <w:szCs w:val="24"/>
          <w:shd w:val="clear" w:color="auto" w:fill="FFFFFF"/>
        </w:rPr>
        <w:t xml:space="preserve">In 2001, </w:t>
      </w:r>
      <w:r>
        <w:rPr>
          <w:rStyle w:val="apple-converted-space"/>
          <w:rFonts w:ascii="Times New Roman" w:hAnsi="Times New Roman" w:cs="Times New Roman"/>
          <w:sz w:val="24"/>
          <w:szCs w:val="24"/>
          <w:shd w:val="clear" w:color="auto" w:fill="FFFFFF"/>
        </w:rPr>
        <w:t xml:space="preserve">the CDR mechanism was set up by </w:t>
      </w:r>
      <w:r w:rsidRPr="005F3303">
        <w:rPr>
          <w:rStyle w:val="apple-converted-space"/>
          <w:rFonts w:ascii="Times New Roman" w:hAnsi="Times New Roman" w:cs="Times New Roman"/>
          <w:sz w:val="24"/>
          <w:szCs w:val="24"/>
          <w:shd w:val="clear" w:color="auto" w:fill="FFFFFF"/>
        </w:rPr>
        <w:t xml:space="preserve">the RBI </w:t>
      </w:r>
      <w:r>
        <w:rPr>
          <w:rStyle w:val="apple-converted-space"/>
          <w:rFonts w:ascii="Times New Roman" w:hAnsi="Times New Roman" w:cs="Times New Roman"/>
          <w:sz w:val="24"/>
          <w:szCs w:val="24"/>
          <w:shd w:val="clear" w:color="auto" w:fill="FFFFFF"/>
        </w:rPr>
        <w:t xml:space="preserve">as a voluntary </w:t>
      </w:r>
      <w:r w:rsidRPr="005F3303">
        <w:rPr>
          <w:rStyle w:val="apple-converted-space"/>
          <w:rFonts w:ascii="Times New Roman" w:hAnsi="Times New Roman" w:cs="Times New Roman"/>
          <w:sz w:val="24"/>
          <w:szCs w:val="24"/>
          <w:shd w:val="clear" w:color="auto" w:fill="FFFFFF"/>
        </w:rPr>
        <w:t xml:space="preserve">mechanism </w:t>
      </w:r>
      <w:r>
        <w:rPr>
          <w:rStyle w:val="apple-converted-space"/>
          <w:rFonts w:ascii="Times New Roman" w:hAnsi="Times New Roman" w:cs="Times New Roman"/>
          <w:sz w:val="24"/>
          <w:szCs w:val="24"/>
          <w:shd w:val="clear" w:color="auto" w:fill="FFFFFF"/>
        </w:rPr>
        <w:t>in order to</w:t>
      </w:r>
      <w:r w:rsidRPr="005F3303">
        <w:rPr>
          <w:rStyle w:val="apple-converted-space"/>
          <w:rFonts w:ascii="Times New Roman" w:hAnsi="Times New Roman" w:cs="Times New Roman"/>
          <w:sz w:val="24"/>
          <w:szCs w:val="24"/>
          <w:shd w:val="clear" w:color="auto" w:fill="FFFFFF"/>
        </w:rPr>
        <w:t xml:space="preserve"> facilitate restructuring debts of viable corporate </w:t>
      </w:r>
      <w:r>
        <w:rPr>
          <w:rStyle w:val="apple-converted-space"/>
          <w:rFonts w:ascii="Times New Roman" w:hAnsi="Times New Roman" w:cs="Times New Roman"/>
          <w:sz w:val="24"/>
          <w:szCs w:val="24"/>
          <w:shd w:val="clear" w:color="auto" w:fill="FFFFFF"/>
        </w:rPr>
        <w:t>entities, independent of</w:t>
      </w:r>
      <w:r w:rsidRPr="005F3303">
        <w:rPr>
          <w:rStyle w:val="apple-converted-space"/>
          <w:rFonts w:ascii="Times New Roman" w:hAnsi="Times New Roman" w:cs="Times New Roman"/>
          <w:sz w:val="24"/>
          <w:szCs w:val="24"/>
          <w:shd w:val="clear" w:color="auto" w:fill="FFFFFF"/>
        </w:rPr>
        <w:t xml:space="preserve"> th</w:t>
      </w:r>
      <w:r>
        <w:rPr>
          <w:rStyle w:val="apple-converted-space"/>
          <w:rFonts w:ascii="Times New Roman" w:hAnsi="Times New Roman" w:cs="Times New Roman"/>
          <w:sz w:val="24"/>
          <w:szCs w:val="24"/>
          <w:shd w:val="clear" w:color="auto" w:fill="FFFFFF"/>
        </w:rPr>
        <w:t xml:space="preserve">e multitude of insolvency procedures available in India. </w:t>
      </w:r>
      <w:r w:rsidRPr="005F3303">
        <w:rPr>
          <w:rStyle w:val="apple-converted-space"/>
          <w:rFonts w:ascii="Times New Roman" w:hAnsi="Times New Roman" w:cs="Times New Roman"/>
          <w:sz w:val="24"/>
          <w:szCs w:val="24"/>
          <w:shd w:val="clear" w:color="auto" w:fill="FFFFFF"/>
        </w:rPr>
        <w:t xml:space="preserve">The Indian CDR mechanism is largely based on the London Approach, </w:t>
      </w:r>
      <w:r>
        <w:rPr>
          <w:rStyle w:val="apple-converted-space"/>
          <w:rFonts w:ascii="Times New Roman" w:hAnsi="Times New Roman" w:cs="Times New Roman"/>
          <w:sz w:val="24"/>
          <w:szCs w:val="24"/>
          <w:shd w:val="clear" w:color="auto" w:fill="FFFFFF"/>
        </w:rPr>
        <w:t xml:space="preserve">a mechanism </w:t>
      </w:r>
      <w:r w:rsidRPr="005F3303">
        <w:rPr>
          <w:rStyle w:val="apple-converted-space"/>
          <w:rFonts w:ascii="Times New Roman" w:hAnsi="Times New Roman" w:cs="Times New Roman"/>
          <w:sz w:val="24"/>
          <w:szCs w:val="24"/>
          <w:shd w:val="clear" w:color="auto" w:fill="FFFFFF"/>
        </w:rPr>
        <w:t>formulated in the early nineties wherein out-of-court agreements</w:t>
      </w:r>
      <w:r>
        <w:rPr>
          <w:rStyle w:val="apple-converted-space"/>
          <w:rFonts w:ascii="Times New Roman" w:hAnsi="Times New Roman" w:cs="Times New Roman"/>
          <w:sz w:val="24"/>
          <w:szCs w:val="24"/>
          <w:shd w:val="clear" w:color="auto" w:fill="FFFFFF"/>
        </w:rPr>
        <w:t xml:space="preserve"> and settlements were encouraged to be opted by the creditors for maximising the value of the corporates as a going concern. </w:t>
      </w:r>
      <w:r w:rsidRPr="005F3303">
        <w:rPr>
          <w:rFonts w:ascii="Times New Roman" w:hAnsi="Times New Roman" w:cs="Times New Roman"/>
          <w:sz w:val="24"/>
          <w:szCs w:val="24"/>
        </w:rPr>
        <w:t xml:space="preserve"> </w:t>
      </w:r>
      <w:r w:rsidRPr="005F3303">
        <w:rPr>
          <w:rStyle w:val="apple-converted-space"/>
          <w:rFonts w:ascii="Times New Roman" w:hAnsi="Times New Roman" w:cs="Times New Roman"/>
          <w:sz w:val="24"/>
          <w:szCs w:val="24"/>
          <w:shd w:val="clear" w:color="auto" w:fill="FFFFFF"/>
        </w:rPr>
        <w:t xml:space="preserve">The approach grew from the </w:t>
      </w:r>
      <w:r>
        <w:rPr>
          <w:rStyle w:val="apple-converted-space"/>
          <w:rFonts w:ascii="Times New Roman" w:hAnsi="Times New Roman" w:cs="Times New Roman"/>
          <w:sz w:val="24"/>
          <w:szCs w:val="24"/>
          <w:shd w:val="clear" w:color="auto" w:fill="FFFFFF"/>
        </w:rPr>
        <w:t>recognition</w:t>
      </w:r>
      <w:r w:rsidRPr="005F3303">
        <w:rPr>
          <w:rStyle w:val="apple-converted-space"/>
          <w:rFonts w:ascii="Times New Roman" w:hAnsi="Times New Roman" w:cs="Times New Roman"/>
          <w:sz w:val="24"/>
          <w:szCs w:val="24"/>
          <w:shd w:val="clear" w:color="auto" w:fill="FFFFFF"/>
        </w:rPr>
        <w:t xml:space="preserve"> that in a multi-creditor restructuring, the </w:t>
      </w:r>
      <w:r>
        <w:rPr>
          <w:rStyle w:val="apple-converted-space"/>
          <w:rFonts w:ascii="Times New Roman" w:hAnsi="Times New Roman" w:cs="Times New Roman"/>
          <w:sz w:val="24"/>
          <w:szCs w:val="24"/>
          <w:shd w:val="clear" w:color="auto" w:fill="FFFFFF"/>
        </w:rPr>
        <w:t xml:space="preserve">lenders would achieve </w:t>
      </w:r>
      <w:r w:rsidRPr="005F3303">
        <w:rPr>
          <w:rStyle w:val="apple-converted-space"/>
          <w:rFonts w:ascii="Times New Roman" w:hAnsi="Times New Roman" w:cs="Times New Roman"/>
          <w:sz w:val="24"/>
          <w:szCs w:val="24"/>
          <w:shd w:val="clear" w:color="auto" w:fill="FFFFFF"/>
        </w:rPr>
        <w:t xml:space="preserve">better returns through collective and coordinated efforts to rescue a firm in distress, rather than force it into formal insolvency. </w:t>
      </w:r>
      <w:r>
        <w:rPr>
          <w:rStyle w:val="apple-converted-space"/>
          <w:rFonts w:ascii="Times New Roman" w:hAnsi="Times New Roman" w:cs="Times New Roman"/>
          <w:sz w:val="24"/>
          <w:szCs w:val="24"/>
          <w:shd w:val="clear" w:color="auto" w:fill="FFFFFF"/>
        </w:rPr>
        <w:t xml:space="preserve">In </w:t>
      </w:r>
      <w:r w:rsidRPr="005F3303">
        <w:rPr>
          <w:rStyle w:val="apple-converted-space"/>
          <w:rFonts w:ascii="Times New Roman" w:hAnsi="Times New Roman" w:cs="Times New Roman"/>
          <w:sz w:val="24"/>
          <w:szCs w:val="24"/>
          <w:shd w:val="clear" w:color="auto" w:fill="FFFFFF"/>
        </w:rPr>
        <w:t>2008, comprehensive guidelines for both institutional (CDR) as well as non-institutional restructuring (non-CDR) were issued</w:t>
      </w:r>
      <w:r>
        <w:rPr>
          <w:rStyle w:val="apple-converted-space"/>
          <w:rFonts w:ascii="Times New Roman" w:hAnsi="Times New Roman" w:cs="Times New Roman"/>
          <w:sz w:val="24"/>
          <w:szCs w:val="24"/>
          <w:shd w:val="clear" w:color="auto" w:fill="FFFFFF"/>
        </w:rPr>
        <w:t xml:space="preserve"> followed by significant improvements and modifications in the ensuing years based on the practical issues experienced during the implementation of the guidelines. </w:t>
      </w:r>
    </w:p>
    <w:p w:rsidR="00B47FE7" w:rsidRPr="00937B05" w:rsidRDefault="00BD2193" w:rsidP="00A87168">
      <w:pPr>
        <w:spacing w:line="240" w:lineRule="auto"/>
        <w:jc w:val="both"/>
        <w:rPr>
          <w:rStyle w:val="apple-converted-space"/>
        </w:rPr>
      </w:pPr>
      <w:r>
        <w:rPr>
          <w:rStyle w:val="apple-converted-space"/>
          <w:rFonts w:ascii="Times New Roman" w:hAnsi="Times New Roman" w:cs="Times New Roman"/>
          <w:sz w:val="24"/>
          <w:szCs w:val="24"/>
          <w:shd w:val="clear" w:color="auto" w:fill="FFFFFF"/>
        </w:rPr>
        <w:t xml:space="preserve">The </w:t>
      </w:r>
      <w:r w:rsidRPr="00937B05">
        <w:rPr>
          <w:rStyle w:val="apple-converted-space"/>
          <w:rFonts w:ascii="Times New Roman" w:hAnsi="Times New Roman" w:cs="Times New Roman"/>
          <w:sz w:val="24"/>
          <w:szCs w:val="24"/>
          <w:shd w:val="clear" w:color="auto" w:fill="FFFFFF"/>
        </w:rPr>
        <w:t xml:space="preserve">CDR </w:t>
      </w:r>
      <w:r>
        <w:rPr>
          <w:rFonts w:ascii="Times New Roman" w:hAnsi="Times New Roman" w:cs="Times New Roman"/>
          <w:sz w:val="24"/>
          <w:szCs w:val="24"/>
          <w:shd w:val="clear" w:color="auto" w:fill="FFFFFF"/>
        </w:rPr>
        <w:t>system</w:t>
      </w:r>
      <w:r w:rsidRPr="00937B0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in India </w:t>
      </w:r>
      <w:r w:rsidRPr="00937B05">
        <w:rPr>
          <w:rFonts w:ascii="Times New Roman" w:hAnsi="Times New Roman" w:cs="Times New Roman"/>
          <w:sz w:val="24"/>
          <w:szCs w:val="24"/>
          <w:shd w:val="clear" w:color="auto" w:fill="FFFFFF"/>
        </w:rPr>
        <w:t xml:space="preserve">is based </w:t>
      </w:r>
      <w:r>
        <w:rPr>
          <w:rFonts w:ascii="Times New Roman" w:hAnsi="Times New Roman" w:cs="Times New Roman"/>
          <w:sz w:val="24"/>
          <w:szCs w:val="24"/>
          <w:shd w:val="clear" w:color="auto" w:fill="FFFFFF"/>
        </w:rPr>
        <w:t xml:space="preserve">on </w:t>
      </w:r>
      <w:r w:rsidRPr="00937B05">
        <w:rPr>
          <w:rFonts w:ascii="Times New Roman" w:hAnsi="Times New Roman" w:cs="Times New Roman"/>
          <w:sz w:val="24"/>
          <w:szCs w:val="24"/>
          <w:shd w:val="clear" w:color="auto" w:fill="FFFFFF"/>
        </w:rPr>
        <w:t xml:space="preserve">the principle of approvals by </w:t>
      </w:r>
      <w:r>
        <w:rPr>
          <w:rFonts w:ascii="Times New Roman" w:hAnsi="Times New Roman" w:cs="Times New Roman"/>
          <w:sz w:val="24"/>
          <w:szCs w:val="24"/>
          <w:shd w:val="clear" w:color="auto" w:fill="FFFFFF"/>
        </w:rPr>
        <w:t xml:space="preserve">a </w:t>
      </w:r>
      <w:r w:rsidRPr="00937B05">
        <w:rPr>
          <w:rFonts w:ascii="Times New Roman" w:hAnsi="Times New Roman" w:cs="Times New Roman"/>
          <w:sz w:val="24"/>
          <w:szCs w:val="24"/>
          <w:shd w:val="clear" w:color="auto" w:fill="FFFFFF"/>
        </w:rPr>
        <w:t xml:space="preserve">super-majority of 75% </w:t>
      </w:r>
      <w:r>
        <w:rPr>
          <w:rFonts w:ascii="Times New Roman" w:hAnsi="Times New Roman" w:cs="Times New Roman"/>
          <w:sz w:val="24"/>
          <w:szCs w:val="24"/>
          <w:shd w:val="clear" w:color="auto" w:fill="FFFFFF"/>
        </w:rPr>
        <w:t xml:space="preserve">of participating </w:t>
      </w:r>
      <w:r w:rsidRPr="00937B05">
        <w:rPr>
          <w:rFonts w:ascii="Times New Roman" w:hAnsi="Times New Roman" w:cs="Times New Roman"/>
          <w:sz w:val="24"/>
          <w:szCs w:val="24"/>
          <w:shd w:val="clear" w:color="auto" w:fill="FFFFFF"/>
        </w:rPr>
        <w:t xml:space="preserve">creditors (by value) which makes it binding on the remaining 25% to fall in line with the majority decision. The CDR Mechanism covers only multiple banking accounts </w:t>
      </w:r>
      <w:r>
        <w:rPr>
          <w:rFonts w:ascii="Times New Roman" w:hAnsi="Times New Roman" w:cs="Times New Roman"/>
          <w:sz w:val="24"/>
          <w:szCs w:val="24"/>
          <w:shd w:val="clear" w:color="auto" w:fill="FFFFFF"/>
        </w:rPr>
        <w:t xml:space="preserve">and </w:t>
      </w:r>
      <w:r w:rsidRPr="00937B05">
        <w:rPr>
          <w:rFonts w:ascii="Times New Roman" w:hAnsi="Times New Roman" w:cs="Times New Roman"/>
          <w:sz w:val="24"/>
          <w:szCs w:val="24"/>
          <w:shd w:val="clear" w:color="auto" w:fill="FFFFFF"/>
        </w:rPr>
        <w:t xml:space="preserve">syndication/consortium accounts, where </w:t>
      </w:r>
      <w:r>
        <w:rPr>
          <w:rFonts w:ascii="Times New Roman" w:hAnsi="Times New Roman" w:cs="Times New Roman"/>
          <w:sz w:val="24"/>
          <w:szCs w:val="24"/>
          <w:shd w:val="clear" w:color="auto" w:fill="FFFFFF"/>
        </w:rPr>
        <w:t>the</w:t>
      </w:r>
      <w:r w:rsidRPr="00937B05">
        <w:rPr>
          <w:rFonts w:ascii="Times New Roman" w:hAnsi="Times New Roman" w:cs="Times New Roman"/>
          <w:sz w:val="24"/>
          <w:szCs w:val="24"/>
          <w:shd w:val="clear" w:color="auto" w:fill="FFFFFF"/>
        </w:rPr>
        <w:t xml:space="preserve"> banks and institutions together have an outstanding aggregate exposure of $2 mn and above. It covers all categories of assets in the books of member-creditors classified in terms of RBI's prudential asset classification standards. Even cases filed in Debt Recovery Tribunals/Bureau of Industrial and Financial Reconstruction/and other suit-filed cases are eligible for restructuring under CDR.</w:t>
      </w:r>
    </w:p>
    <w:p w:rsidR="00856E37" w:rsidRPr="00D647BB" w:rsidRDefault="004B1BED" w:rsidP="00A87168">
      <w:pPr>
        <w:autoSpaceDE w:val="0"/>
        <w:autoSpaceDN w:val="0"/>
        <w:adjustRightInd w:val="0"/>
        <w:spacing w:after="0" w:line="240" w:lineRule="auto"/>
        <w:jc w:val="both"/>
        <w:rPr>
          <w:rStyle w:val="apple-converted-space"/>
        </w:rPr>
      </w:pPr>
    </w:p>
    <w:p w:rsidR="00856E37" w:rsidRPr="00D647BB" w:rsidRDefault="00BD2193" w:rsidP="00A87168">
      <w:pPr>
        <w:spacing w:line="240" w:lineRule="auto"/>
        <w:jc w:val="both"/>
        <w:rPr>
          <w:rStyle w:val="apple-converted-space"/>
        </w:rPr>
      </w:pPr>
      <w:r w:rsidRPr="00D647BB">
        <w:rPr>
          <w:rStyle w:val="apple-converted-space"/>
          <w:rFonts w:ascii="Times New Roman" w:hAnsi="Times New Roman" w:cs="Times New Roman"/>
          <w:b/>
          <w:i/>
          <w:sz w:val="28"/>
          <w:szCs w:val="24"/>
          <w:shd w:val="clear" w:color="auto" w:fill="FFFFFF"/>
        </w:rPr>
        <w:lastRenderedPageBreak/>
        <w:t>How far it can go to prevent insolvency?</w:t>
      </w:r>
    </w:p>
    <w:p w:rsidR="00856E37"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sidRPr="00856E37">
        <w:rPr>
          <w:rFonts w:ascii="Times New Roman" w:hAnsi="Times New Roman" w:cs="Times New Roman"/>
          <w:sz w:val="24"/>
          <w:szCs w:val="24"/>
        </w:rPr>
        <w:t>As per market estimates</w:t>
      </w:r>
      <w:r>
        <w:rPr>
          <w:rFonts w:ascii="Times New Roman" w:hAnsi="Times New Roman" w:cs="Times New Roman"/>
          <w:sz w:val="24"/>
          <w:szCs w:val="24"/>
        </w:rPr>
        <w:t>,</w:t>
      </w:r>
      <w:r w:rsidRPr="00856E37">
        <w:rPr>
          <w:rFonts w:ascii="Times New Roman" w:hAnsi="Times New Roman" w:cs="Times New Roman"/>
          <w:sz w:val="24"/>
          <w:szCs w:val="24"/>
        </w:rPr>
        <w:t xml:space="preserve"> about 70-80% of the loan restructuring cases referred to the CDR cells are able to meet their obligations</w:t>
      </w:r>
      <w:r>
        <w:rPr>
          <w:rFonts w:ascii="Times New Roman" w:hAnsi="Times New Roman" w:cs="Times New Roman"/>
          <w:sz w:val="24"/>
          <w:szCs w:val="24"/>
        </w:rPr>
        <w:t xml:space="preserve"> a</w:t>
      </w:r>
      <w:r w:rsidRPr="00856E37">
        <w:rPr>
          <w:rFonts w:ascii="Times New Roman" w:hAnsi="Times New Roman" w:cs="Times New Roman"/>
          <w:sz w:val="24"/>
          <w:szCs w:val="24"/>
        </w:rPr>
        <w:t>nd, almost 40% of these cases are successfully revived.</w:t>
      </w:r>
      <w:r w:rsidRPr="005F3303">
        <w:rPr>
          <w:rFonts w:ascii="Times New Roman" w:hAnsi="Times New Roman" w:cs="Times New Roman"/>
          <w:sz w:val="24"/>
          <w:szCs w:val="24"/>
        </w:rPr>
        <w:t xml:space="preserve"> However, recent failures of CDR packages in last two quarters amounting to over $2.5 bn and the subsequent sale to the asset reconstruction companies for ultimate liquidation </w:t>
      </w:r>
      <w:r>
        <w:rPr>
          <w:rFonts w:ascii="Times New Roman" w:hAnsi="Times New Roman" w:cs="Times New Roman"/>
          <w:sz w:val="24"/>
          <w:szCs w:val="24"/>
        </w:rPr>
        <w:t xml:space="preserve">has </w:t>
      </w:r>
      <w:r w:rsidRPr="005F3303">
        <w:rPr>
          <w:rFonts w:ascii="Times New Roman" w:hAnsi="Times New Roman" w:cs="Times New Roman"/>
          <w:sz w:val="24"/>
          <w:szCs w:val="24"/>
        </w:rPr>
        <w:t xml:space="preserve">put a big question mark on the ability of debt restructuring in saving the companies. Nevertheless, statistics are an indication that provides enough hope of a possible turnaround from insolvency for the companies under the process of implementation of debt restructuring packages. However, experts warn that not all </w:t>
      </w:r>
      <w:r>
        <w:rPr>
          <w:rFonts w:ascii="Times New Roman" w:hAnsi="Times New Roman" w:cs="Times New Roman"/>
          <w:sz w:val="24"/>
          <w:szCs w:val="24"/>
        </w:rPr>
        <w:t xml:space="preserve">debtors </w:t>
      </w:r>
      <w:r w:rsidRPr="005F3303">
        <w:rPr>
          <w:rFonts w:ascii="Times New Roman" w:hAnsi="Times New Roman" w:cs="Times New Roman"/>
          <w:sz w:val="24"/>
          <w:szCs w:val="24"/>
        </w:rPr>
        <w:t xml:space="preserve">can </w:t>
      </w:r>
      <w:r>
        <w:rPr>
          <w:rFonts w:ascii="Times New Roman" w:hAnsi="Times New Roman" w:cs="Times New Roman"/>
          <w:sz w:val="24"/>
          <w:szCs w:val="24"/>
        </w:rPr>
        <w:t xml:space="preserve">be </w:t>
      </w:r>
      <w:r w:rsidRPr="005F3303">
        <w:rPr>
          <w:rFonts w:ascii="Times New Roman" w:hAnsi="Times New Roman" w:cs="Times New Roman"/>
          <w:sz w:val="24"/>
          <w:szCs w:val="24"/>
        </w:rPr>
        <w:t>turn</w:t>
      </w:r>
      <w:r>
        <w:rPr>
          <w:rFonts w:ascii="Times New Roman" w:hAnsi="Times New Roman" w:cs="Times New Roman"/>
          <w:sz w:val="24"/>
          <w:szCs w:val="24"/>
        </w:rPr>
        <w:t>ed</w:t>
      </w:r>
      <w:r w:rsidRPr="005F3303">
        <w:rPr>
          <w:rFonts w:ascii="Times New Roman" w:hAnsi="Times New Roman" w:cs="Times New Roman"/>
          <w:sz w:val="24"/>
          <w:szCs w:val="24"/>
        </w:rPr>
        <w:t xml:space="preserve"> around.</w:t>
      </w:r>
    </w:p>
    <w:p w:rsidR="00856E37" w:rsidRPr="00F03077" w:rsidRDefault="004B1BED" w:rsidP="00A87168">
      <w:pPr>
        <w:spacing w:line="240" w:lineRule="auto"/>
        <w:jc w:val="both"/>
        <w:rPr>
          <w:rStyle w:val="apple-converted-space"/>
        </w:rPr>
      </w:pPr>
    </w:p>
    <w:p w:rsidR="00C452D3" w:rsidRPr="00856E37" w:rsidRDefault="00BD2193" w:rsidP="00A87168">
      <w:pPr>
        <w:pStyle w:val="ListParagraph"/>
        <w:numPr>
          <w:ilvl w:val="0"/>
          <w:numId w:val="8"/>
        </w:numPr>
        <w:spacing w:line="240" w:lineRule="auto"/>
        <w:jc w:val="both"/>
        <w:rPr>
          <w:rStyle w:val="apple-converted-space"/>
        </w:rPr>
      </w:pPr>
      <w:r w:rsidRPr="00856E37">
        <w:rPr>
          <w:rStyle w:val="apple-converted-space"/>
          <w:rFonts w:ascii="Times New Roman" w:hAnsi="Times New Roman" w:cs="Times New Roman"/>
          <w:i/>
          <w:sz w:val="28"/>
          <w:szCs w:val="24"/>
          <w:shd w:val="clear" w:color="auto" w:fill="FFFFFF"/>
        </w:rPr>
        <w:t>Success &amp; Failure of the CDR mechanism</w:t>
      </w:r>
    </w:p>
    <w:p w:rsidR="0043051C" w:rsidRDefault="00BD2193" w:rsidP="00A87168">
      <w:pPr>
        <w:autoSpaceDE w:val="0"/>
        <w:autoSpaceDN w:val="0"/>
        <w:adjustRightInd w:val="0"/>
        <w:spacing w:after="0" w:line="240" w:lineRule="auto"/>
        <w:jc w:val="both"/>
        <w:rPr>
          <w:rFonts w:ascii="Times New Roman" w:hAnsi="Times New Roman" w:cs="Times New Roman"/>
          <w:sz w:val="24"/>
          <w:szCs w:val="24"/>
        </w:rPr>
      </w:pPr>
      <w:r w:rsidRPr="005F3303">
        <w:rPr>
          <w:rFonts w:ascii="Times New Roman" w:hAnsi="Times New Roman" w:cs="Times New Roman"/>
          <w:sz w:val="24"/>
          <w:szCs w:val="24"/>
        </w:rPr>
        <w:t>Debt Restructuring has come become the buzzword recently in Corporate India because of the significant increase in the number and volume of advances being restructured by the banks under the CDR mechanism in the re</w:t>
      </w:r>
      <w:r>
        <w:rPr>
          <w:rFonts w:ascii="Times New Roman" w:hAnsi="Times New Roman" w:cs="Times New Roman"/>
          <w:sz w:val="24"/>
          <w:szCs w:val="24"/>
        </w:rPr>
        <w:t>cent years as presented in the diagram</w:t>
      </w:r>
      <w:r w:rsidRPr="005F3303">
        <w:rPr>
          <w:rFonts w:ascii="Times New Roman" w:hAnsi="Times New Roman" w:cs="Times New Roman"/>
          <w:sz w:val="24"/>
          <w:szCs w:val="24"/>
        </w:rPr>
        <w:t xml:space="preserve"> below:</w:t>
      </w:r>
    </w:p>
    <w:p w:rsidR="0044248E" w:rsidRDefault="004B1BED" w:rsidP="00A87168">
      <w:pPr>
        <w:autoSpaceDE w:val="0"/>
        <w:autoSpaceDN w:val="0"/>
        <w:adjustRightInd w:val="0"/>
        <w:spacing w:after="0" w:line="240" w:lineRule="auto"/>
        <w:jc w:val="both"/>
        <w:rPr>
          <w:rStyle w:val="apple-converted-space"/>
        </w:rPr>
      </w:pPr>
    </w:p>
    <w:p w:rsidR="001808B9" w:rsidRDefault="00BD2193" w:rsidP="00A87168">
      <w:pPr>
        <w:autoSpaceDE w:val="0"/>
        <w:autoSpaceDN w:val="0"/>
        <w:adjustRightInd w:val="0"/>
        <w:spacing w:after="0" w:line="240" w:lineRule="auto"/>
        <w:jc w:val="both"/>
        <w:rPr>
          <w:rStyle w:val="apple-converted-space"/>
        </w:rPr>
      </w:pPr>
      <w:r w:rsidRPr="000D7DEC">
        <w:rPr>
          <w:rFonts w:ascii="Times New Roman" w:hAnsi="Times New Roman" w:cs="Times New Roman"/>
          <w:b/>
          <w:noProof/>
          <w:sz w:val="24"/>
          <w:szCs w:val="24"/>
          <w:shd w:val="clear" w:color="auto" w:fill="FFFFFF"/>
          <w:lang w:val="en-GB" w:eastAsia="en-GB"/>
        </w:rPr>
        <w:drawing>
          <wp:inline distT="0" distB="0" distL="0" distR="0">
            <wp:extent cx="5731510" cy="3447415"/>
            <wp:effectExtent l="0" t="0" r="21590" b="196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0293A" w:rsidRPr="000E2A71" w:rsidRDefault="00BD2193" w:rsidP="00A87168">
      <w:pPr>
        <w:spacing w:line="240" w:lineRule="auto"/>
        <w:jc w:val="both"/>
        <w:rPr>
          <w:rStyle w:val="apple-converted-space"/>
        </w:rPr>
      </w:pPr>
      <w:r w:rsidRPr="000E2A71">
        <w:rPr>
          <w:rStyle w:val="apple-converted-space"/>
          <w:rFonts w:ascii="Times New Roman" w:hAnsi="Times New Roman" w:cs="Times New Roman"/>
          <w:i/>
          <w:szCs w:val="24"/>
          <w:shd w:val="clear" w:color="auto" w:fill="FFFFFF"/>
        </w:rPr>
        <w:t>Source: CDR Cell &amp; Outlook India</w:t>
      </w:r>
    </w:p>
    <w:p w:rsidR="00317700"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Pr>
          <w:rStyle w:val="apple-converted-space"/>
          <w:rFonts w:ascii="Times New Roman" w:hAnsi="Times New Roman" w:cs="Times New Roman"/>
          <w:sz w:val="24"/>
          <w:szCs w:val="24"/>
          <w:shd w:val="clear" w:color="auto" w:fill="FFFFFF"/>
        </w:rPr>
        <w:t xml:space="preserve">The above table shows that the </w:t>
      </w:r>
      <w:r w:rsidRPr="005F3303">
        <w:rPr>
          <w:rStyle w:val="apple-converted-space"/>
          <w:rFonts w:ascii="Times New Roman" w:hAnsi="Times New Roman" w:cs="Times New Roman"/>
          <w:sz w:val="24"/>
          <w:szCs w:val="24"/>
          <w:shd w:val="clear" w:color="auto" w:fill="FFFFFF"/>
        </w:rPr>
        <w:t>number</w:t>
      </w:r>
      <w:r>
        <w:rPr>
          <w:rStyle w:val="apple-converted-space"/>
          <w:rFonts w:ascii="Times New Roman" w:hAnsi="Times New Roman" w:cs="Times New Roman"/>
          <w:sz w:val="24"/>
          <w:szCs w:val="24"/>
          <w:shd w:val="clear" w:color="auto" w:fill="FFFFFF"/>
        </w:rPr>
        <w:t xml:space="preserve"> of cases referred and approved for debt restructuring via the CDR mechanism has been continuously on the rise post the 2008 global crisis. The total </w:t>
      </w:r>
      <w:r w:rsidRPr="005F3303">
        <w:rPr>
          <w:rStyle w:val="apple-converted-space"/>
          <w:rFonts w:ascii="Times New Roman" w:hAnsi="Times New Roman" w:cs="Times New Roman"/>
          <w:sz w:val="24"/>
          <w:szCs w:val="24"/>
          <w:shd w:val="clear" w:color="auto" w:fill="FFFFFF"/>
        </w:rPr>
        <w:t xml:space="preserve">number of </w:t>
      </w:r>
      <w:r w:rsidRPr="005F3303">
        <w:rPr>
          <w:rFonts w:ascii="Times New Roman" w:hAnsi="Times New Roman" w:cs="Times New Roman"/>
          <w:sz w:val="24"/>
          <w:szCs w:val="24"/>
        </w:rPr>
        <w:t>622 cases been referred to CDR cell</w:t>
      </w:r>
      <w:r>
        <w:rPr>
          <w:rFonts w:ascii="Times New Roman" w:hAnsi="Times New Roman" w:cs="Times New Roman"/>
          <w:sz w:val="24"/>
          <w:szCs w:val="24"/>
        </w:rPr>
        <w:t>s</w:t>
      </w:r>
      <w:r w:rsidRPr="005F3303">
        <w:rPr>
          <w:rFonts w:ascii="Times New Roman" w:hAnsi="Times New Roman" w:cs="Times New Roman"/>
          <w:sz w:val="24"/>
          <w:szCs w:val="24"/>
        </w:rPr>
        <w:t xml:space="preserve"> </w:t>
      </w:r>
      <w:r>
        <w:rPr>
          <w:rFonts w:ascii="Times New Roman" w:hAnsi="Times New Roman" w:cs="Times New Roman"/>
          <w:sz w:val="24"/>
          <w:szCs w:val="24"/>
        </w:rPr>
        <w:t xml:space="preserve">from </w:t>
      </w:r>
      <w:r w:rsidRPr="005F3303">
        <w:rPr>
          <w:rFonts w:ascii="Times New Roman" w:hAnsi="Times New Roman" w:cs="Times New Roman"/>
          <w:sz w:val="24"/>
          <w:szCs w:val="24"/>
        </w:rPr>
        <w:t xml:space="preserve">its inception until March 2014 </w:t>
      </w:r>
      <w:r>
        <w:rPr>
          <w:rFonts w:ascii="Times New Roman" w:hAnsi="Times New Roman" w:cs="Times New Roman"/>
          <w:sz w:val="24"/>
          <w:szCs w:val="24"/>
        </w:rPr>
        <w:t>with</w:t>
      </w:r>
      <w:r w:rsidRPr="005F3303">
        <w:rPr>
          <w:rFonts w:ascii="Times New Roman" w:hAnsi="Times New Roman" w:cs="Times New Roman"/>
          <w:sz w:val="24"/>
          <w:szCs w:val="24"/>
        </w:rPr>
        <w:t xml:space="preserve"> total debt</w:t>
      </w:r>
      <w:r>
        <w:rPr>
          <w:rFonts w:ascii="Times New Roman" w:hAnsi="Times New Roman" w:cs="Times New Roman"/>
          <w:sz w:val="24"/>
          <w:szCs w:val="24"/>
        </w:rPr>
        <w:t>s</w:t>
      </w:r>
      <w:r w:rsidRPr="005F3303">
        <w:rPr>
          <w:rFonts w:ascii="Times New Roman" w:hAnsi="Times New Roman" w:cs="Times New Roman"/>
          <w:sz w:val="24"/>
          <w:szCs w:val="24"/>
        </w:rPr>
        <w:t xml:space="preserve"> of over $ 75bn  o</w:t>
      </w:r>
      <w:r>
        <w:rPr>
          <w:rFonts w:ascii="Times New Roman" w:hAnsi="Times New Roman" w:cs="Times New Roman"/>
          <w:sz w:val="24"/>
          <w:szCs w:val="24"/>
        </w:rPr>
        <w:t>f</w:t>
      </w:r>
      <w:r w:rsidRPr="005F3303">
        <w:rPr>
          <w:rFonts w:ascii="Times New Roman" w:hAnsi="Times New Roman" w:cs="Times New Roman"/>
          <w:sz w:val="24"/>
          <w:szCs w:val="24"/>
        </w:rPr>
        <w:t xml:space="preserve"> which </w:t>
      </w:r>
      <w:r>
        <w:rPr>
          <w:rFonts w:ascii="Times New Roman" w:hAnsi="Times New Roman" w:cs="Times New Roman"/>
          <w:sz w:val="24"/>
          <w:szCs w:val="24"/>
        </w:rPr>
        <w:t xml:space="preserve">the </w:t>
      </w:r>
      <w:r w:rsidRPr="005F3303">
        <w:rPr>
          <w:rFonts w:ascii="Times New Roman" w:hAnsi="Times New Roman" w:cs="Times New Roman"/>
          <w:sz w:val="24"/>
          <w:szCs w:val="24"/>
        </w:rPr>
        <w:t>debt</w:t>
      </w:r>
      <w:r>
        <w:rPr>
          <w:rFonts w:ascii="Times New Roman" w:hAnsi="Times New Roman" w:cs="Times New Roman"/>
          <w:sz w:val="24"/>
          <w:szCs w:val="24"/>
        </w:rPr>
        <w:t>s</w:t>
      </w:r>
      <w:r w:rsidRPr="005F3303">
        <w:rPr>
          <w:rFonts w:ascii="Times New Roman" w:hAnsi="Times New Roman" w:cs="Times New Roman"/>
          <w:sz w:val="24"/>
          <w:szCs w:val="24"/>
        </w:rPr>
        <w:t xml:space="preserve"> referred in just </w:t>
      </w:r>
      <w:r>
        <w:rPr>
          <w:rFonts w:ascii="Times New Roman" w:hAnsi="Times New Roman" w:cs="Times New Roman"/>
          <w:sz w:val="24"/>
          <w:szCs w:val="24"/>
        </w:rPr>
        <w:t xml:space="preserve">the </w:t>
      </w:r>
      <w:r w:rsidRPr="005F3303">
        <w:rPr>
          <w:rFonts w:ascii="Times New Roman" w:hAnsi="Times New Roman" w:cs="Times New Roman"/>
          <w:sz w:val="24"/>
          <w:szCs w:val="24"/>
        </w:rPr>
        <w:t xml:space="preserve">last 3 financial years amount to $53 bn. Clearly, this presents a serious cause of concern. More number of cases being referred means widespread corporate distress and sends warning signs to both </w:t>
      </w:r>
      <w:r>
        <w:rPr>
          <w:rFonts w:ascii="Times New Roman" w:hAnsi="Times New Roman" w:cs="Times New Roman"/>
          <w:sz w:val="24"/>
          <w:szCs w:val="24"/>
        </w:rPr>
        <w:t xml:space="preserve">the </w:t>
      </w:r>
      <w:r w:rsidRPr="005F3303">
        <w:rPr>
          <w:rFonts w:ascii="Times New Roman" w:hAnsi="Times New Roman" w:cs="Times New Roman"/>
          <w:sz w:val="24"/>
          <w:szCs w:val="24"/>
        </w:rPr>
        <w:t xml:space="preserve">financial sector and the economy as a whole. </w:t>
      </w:r>
    </w:p>
    <w:p w:rsidR="00317700" w:rsidRPr="005F330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FC0B68"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sidRPr="005F3303">
        <w:rPr>
          <w:rFonts w:ascii="Times New Roman" w:hAnsi="Times New Roman" w:cs="Times New Roman"/>
          <w:sz w:val="24"/>
          <w:szCs w:val="24"/>
        </w:rPr>
        <w:t xml:space="preserve">Further, out of </w:t>
      </w:r>
      <w:r>
        <w:rPr>
          <w:rFonts w:ascii="Times New Roman" w:hAnsi="Times New Roman" w:cs="Times New Roman"/>
          <w:sz w:val="24"/>
          <w:szCs w:val="24"/>
        </w:rPr>
        <w:t>the total referrals received, 47</w:t>
      </w:r>
      <w:r w:rsidRPr="005F3303">
        <w:rPr>
          <w:rFonts w:ascii="Times New Roman" w:hAnsi="Times New Roman" w:cs="Times New Roman"/>
          <w:sz w:val="24"/>
          <w:szCs w:val="24"/>
        </w:rPr>
        <w:t xml:space="preserve">6 cases </w:t>
      </w:r>
      <w:r>
        <w:rPr>
          <w:rFonts w:ascii="Times New Roman" w:hAnsi="Times New Roman" w:cs="Times New Roman"/>
          <w:sz w:val="24"/>
          <w:szCs w:val="24"/>
        </w:rPr>
        <w:t>with</w:t>
      </w:r>
      <w:r w:rsidRPr="005F3303">
        <w:rPr>
          <w:rFonts w:ascii="Times New Roman" w:hAnsi="Times New Roman" w:cs="Times New Roman"/>
          <w:sz w:val="24"/>
          <w:szCs w:val="24"/>
        </w:rPr>
        <w:t xml:space="preserve"> debt</w:t>
      </w:r>
      <w:r>
        <w:rPr>
          <w:rFonts w:ascii="Times New Roman" w:hAnsi="Times New Roman" w:cs="Times New Roman"/>
          <w:sz w:val="24"/>
          <w:szCs w:val="24"/>
        </w:rPr>
        <w:t>s</w:t>
      </w:r>
      <w:r w:rsidRPr="005F3303">
        <w:rPr>
          <w:rFonts w:ascii="Times New Roman" w:hAnsi="Times New Roman" w:cs="Times New Roman"/>
          <w:sz w:val="24"/>
          <w:szCs w:val="24"/>
        </w:rPr>
        <w:t xml:space="preserve"> amounting to $ 60bn have been approved till date. But approval of the case under CDR is no guarantee of survival. O</w:t>
      </w:r>
      <w:r>
        <w:rPr>
          <w:rFonts w:ascii="Times New Roman" w:hAnsi="Times New Roman" w:cs="Times New Roman"/>
          <w:sz w:val="24"/>
          <w:szCs w:val="24"/>
        </w:rPr>
        <w:t>f</w:t>
      </w:r>
      <w:r w:rsidRPr="005F3303">
        <w:rPr>
          <w:rFonts w:ascii="Times New Roman" w:hAnsi="Times New Roman" w:cs="Times New Roman"/>
          <w:sz w:val="24"/>
          <w:szCs w:val="24"/>
        </w:rPr>
        <w:t xml:space="preserve"> the total approved cases, more than 120 cases </w:t>
      </w:r>
      <w:r>
        <w:rPr>
          <w:rFonts w:ascii="Times New Roman" w:hAnsi="Times New Roman" w:cs="Times New Roman"/>
          <w:sz w:val="24"/>
          <w:szCs w:val="24"/>
        </w:rPr>
        <w:t xml:space="preserve">with debts </w:t>
      </w:r>
      <w:r w:rsidRPr="005F3303">
        <w:rPr>
          <w:rFonts w:ascii="Times New Roman" w:hAnsi="Times New Roman" w:cs="Times New Roman"/>
          <w:sz w:val="24"/>
          <w:szCs w:val="24"/>
        </w:rPr>
        <w:t xml:space="preserve">amounting </w:t>
      </w:r>
      <w:r>
        <w:rPr>
          <w:rFonts w:ascii="Times New Roman" w:hAnsi="Times New Roman" w:cs="Times New Roman"/>
          <w:sz w:val="24"/>
          <w:szCs w:val="24"/>
        </w:rPr>
        <w:t xml:space="preserve">to over </w:t>
      </w:r>
      <w:r w:rsidRPr="005F3303">
        <w:rPr>
          <w:rFonts w:ascii="Times New Roman" w:hAnsi="Times New Roman" w:cs="Times New Roman"/>
          <w:sz w:val="24"/>
          <w:szCs w:val="24"/>
        </w:rPr>
        <w:t xml:space="preserve">$ 5bn to have been withdrawn on account of package failure. However, this does not take away the success </w:t>
      </w:r>
      <w:r w:rsidRPr="005F3303">
        <w:rPr>
          <w:rFonts w:ascii="Times New Roman" w:hAnsi="Times New Roman" w:cs="Times New Roman"/>
          <w:sz w:val="24"/>
          <w:szCs w:val="24"/>
        </w:rPr>
        <w:lastRenderedPageBreak/>
        <w:t>of the CDR mechanism in which the successful cases till date outnumber the failures by double as given below:</w:t>
      </w:r>
    </w:p>
    <w:p w:rsidR="00877AAF" w:rsidRPr="005F3303" w:rsidRDefault="00BD2193" w:rsidP="00A87168">
      <w:pPr>
        <w:autoSpaceDE w:val="0"/>
        <w:autoSpaceDN w:val="0"/>
        <w:adjustRightInd w:val="0"/>
        <w:spacing w:after="0" w:line="240" w:lineRule="auto"/>
        <w:jc w:val="right"/>
        <w:rPr>
          <w:rFonts w:ascii="Times New Roman" w:hAnsi="Times New Roman" w:cs="Times New Roman"/>
          <w:i/>
          <w:sz w:val="24"/>
          <w:szCs w:val="24"/>
        </w:rPr>
      </w:pPr>
      <w:r w:rsidRPr="005F3303">
        <w:rPr>
          <w:rFonts w:ascii="Times New Roman" w:hAnsi="Times New Roman" w:cs="Times New Roman"/>
          <w:i/>
          <w:sz w:val="24"/>
          <w:szCs w:val="24"/>
        </w:rPr>
        <w:t>(Amount in $ bn)</w:t>
      </w:r>
    </w:p>
    <w:tbl>
      <w:tblPr>
        <w:tblW w:w="93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338"/>
        <w:gridCol w:w="1009"/>
        <w:gridCol w:w="1339"/>
        <w:gridCol w:w="1009"/>
        <w:gridCol w:w="1339"/>
        <w:gridCol w:w="1009"/>
        <w:gridCol w:w="1339"/>
      </w:tblGrid>
      <w:tr w:rsidR="005E141E" w:rsidRPr="005F3303">
        <w:trPr>
          <w:trHeight w:val="645"/>
        </w:trPr>
        <w:tc>
          <w:tcPr>
            <w:tcW w:w="2346" w:type="dxa"/>
            <w:gridSpan w:val="2"/>
            <w:shd w:val="clear" w:color="auto" w:fill="D9D9D9" w:themeFill="background1" w:themeFillShade="D9"/>
            <w:noWrap/>
            <w:vAlign w:val="bottom"/>
          </w:tcPr>
          <w:p w:rsidR="00877AAF" w:rsidRPr="005F3303" w:rsidRDefault="00BD2193" w:rsidP="00A87168">
            <w:pPr>
              <w:spacing w:after="0" w:line="240" w:lineRule="auto"/>
              <w:jc w:val="center"/>
              <w:rPr>
                <w:rFonts w:ascii="Times New Roman" w:eastAsia="Times New Roman" w:hAnsi="Times New Roman" w:cs="Times New Roman"/>
                <w:b/>
                <w:sz w:val="24"/>
                <w:szCs w:val="24"/>
                <w:lang w:eastAsia="en-IN"/>
              </w:rPr>
            </w:pPr>
            <w:r w:rsidRPr="005F3303">
              <w:rPr>
                <w:rFonts w:ascii="Times New Roman" w:eastAsia="Times New Roman" w:hAnsi="Times New Roman" w:cs="Times New Roman"/>
                <w:b/>
                <w:sz w:val="24"/>
                <w:szCs w:val="24"/>
                <w:lang w:eastAsia="en-IN"/>
              </w:rPr>
              <w:t>Total Approved Cases</w:t>
            </w:r>
          </w:p>
        </w:tc>
        <w:tc>
          <w:tcPr>
            <w:tcW w:w="2348" w:type="dxa"/>
            <w:gridSpan w:val="2"/>
            <w:shd w:val="clear" w:color="auto" w:fill="D9D9D9" w:themeFill="background1" w:themeFillShade="D9"/>
            <w:vAlign w:val="bottom"/>
          </w:tcPr>
          <w:p w:rsidR="00877AAF" w:rsidRPr="005F3303" w:rsidRDefault="00BD2193" w:rsidP="00A87168">
            <w:pPr>
              <w:spacing w:after="0" w:line="240" w:lineRule="auto"/>
              <w:jc w:val="center"/>
              <w:rPr>
                <w:rFonts w:ascii="Times New Roman" w:eastAsia="Times New Roman" w:hAnsi="Times New Roman" w:cs="Times New Roman"/>
                <w:b/>
                <w:sz w:val="24"/>
                <w:szCs w:val="24"/>
                <w:lang w:eastAsia="en-IN"/>
              </w:rPr>
            </w:pPr>
            <w:r w:rsidRPr="005F3303">
              <w:rPr>
                <w:rFonts w:ascii="Times New Roman" w:eastAsia="Times New Roman" w:hAnsi="Times New Roman" w:cs="Times New Roman"/>
                <w:b/>
                <w:sz w:val="24"/>
                <w:szCs w:val="24"/>
                <w:lang w:eastAsia="en-IN"/>
              </w:rPr>
              <w:t>Cases withdrawn on account of package failure</w:t>
            </w:r>
          </w:p>
        </w:tc>
        <w:tc>
          <w:tcPr>
            <w:tcW w:w="2348" w:type="dxa"/>
            <w:gridSpan w:val="2"/>
            <w:shd w:val="clear" w:color="auto" w:fill="D9D9D9" w:themeFill="background1" w:themeFillShade="D9"/>
            <w:noWrap/>
            <w:vAlign w:val="bottom"/>
          </w:tcPr>
          <w:p w:rsidR="00877AAF" w:rsidRPr="005F3303" w:rsidRDefault="00BD2193" w:rsidP="00A87168">
            <w:pPr>
              <w:spacing w:after="0" w:line="240" w:lineRule="auto"/>
              <w:jc w:val="center"/>
              <w:rPr>
                <w:rFonts w:ascii="Times New Roman" w:eastAsia="Times New Roman" w:hAnsi="Times New Roman" w:cs="Times New Roman"/>
                <w:b/>
                <w:sz w:val="24"/>
                <w:szCs w:val="24"/>
                <w:lang w:eastAsia="en-IN"/>
              </w:rPr>
            </w:pPr>
            <w:r w:rsidRPr="005F3303">
              <w:rPr>
                <w:rFonts w:ascii="Times New Roman" w:eastAsia="Times New Roman" w:hAnsi="Times New Roman" w:cs="Times New Roman"/>
                <w:b/>
                <w:sz w:val="24"/>
                <w:szCs w:val="24"/>
                <w:lang w:eastAsia="en-IN"/>
              </w:rPr>
              <w:t>Cases exited successfully</w:t>
            </w:r>
          </w:p>
        </w:tc>
        <w:tc>
          <w:tcPr>
            <w:tcW w:w="2348" w:type="dxa"/>
            <w:gridSpan w:val="2"/>
            <w:shd w:val="clear" w:color="auto" w:fill="D9D9D9" w:themeFill="background1" w:themeFillShade="D9"/>
            <w:noWrap/>
            <w:vAlign w:val="bottom"/>
          </w:tcPr>
          <w:p w:rsidR="00877AAF" w:rsidRPr="005F3303" w:rsidRDefault="00BD2193" w:rsidP="00A87168">
            <w:pPr>
              <w:spacing w:after="0" w:line="240" w:lineRule="auto"/>
              <w:jc w:val="center"/>
              <w:rPr>
                <w:rFonts w:ascii="Times New Roman" w:eastAsia="Times New Roman" w:hAnsi="Times New Roman" w:cs="Times New Roman"/>
                <w:b/>
                <w:sz w:val="24"/>
                <w:szCs w:val="24"/>
                <w:lang w:eastAsia="en-IN"/>
              </w:rPr>
            </w:pPr>
            <w:r w:rsidRPr="005F3303">
              <w:rPr>
                <w:rFonts w:ascii="Times New Roman" w:eastAsia="Times New Roman" w:hAnsi="Times New Roman" w:cs="Times New Roman"/>
                <w:b/>
                <w:sz w:val="24"/>
                <w:szCs w:val="24"/>
                <w:lang w:eastAsia="en-IN"/>
              </w:rPr>
              <w:t>Live cases in CDR</w:t>
            </w:r>
          </w:p>
        </w:tc>
      </w:tr>
      <w:tr w:rsidR="005E141E" w:rsidRPr="005F3303">
        <w:trPr>
          <w:trHeight w:val="300"/>
        </w:trPr>
        <w:tc>
          <w:tcPr>
            <w:tcW w:w="1008" w:type="dxa"/>
            <w:shd w:val="clear" w:color="auto" w:fill="auto"/>
            <w:noWrap/>
            <w:vAlign w:val="bottom"/>
          </w:tcPr>
          <w:p w:rsidR="00877AAF" w:rsidRPr="000E2A71" w:rsidRDefault="00BD2193" w:rsidP="00A87168">
            <w:pPr>
              <w:spacing w:after="0" w:line="240" w:lineRule="auto"/>
              <w:jc w:val="both"/>
              <w:rPr>
                <w:rFonts w:ascii="Times New Roman" w:eastAsia="Times New Roman" w:hAnsi="Times New Roman" w:cs="Times New Roman"/>
                <w:b/>
                <w:sz w:val="24"/>
                <w:szCs w:val="24"/>
                <w:lang w:eastAsia="en-IN"/>
              </w:rPr>
            </w:pPr>
            <w:r w:rsidRPr="000E2A71">
              <w:rPr>
                <w:rFonts w:ascii="Times New Roman" w:eastAsia="Times New Roman" w:hAnsi="Times New Roman" w:cs="Times New Roman"/>
                <w:b/>
                <w:sz w:val="24"/>
                <w:szCs w:val="24"/>
                <w:lang w:eastAsia="en-IN"/>
              </w:rPr>
              <w:t>No. of Cases</w:t>
            </w:r>
          </w:p>
        </w:tc>
        <w:tc>
          <w:tcPr>
            <w:tcW w:w="1338" w:type="dxa"/>
            <w:shd w:val="clear" w:color="auto" w:fill="auto"/>
            <w:noWrap/>
            <w:vAlign w:val="bottom"/>
          </w:tcPr>
          <w:p w:rsidR="00877AAF" w:rsidRPr="000E2A71" w:rsidRDefault="00BD2193" w:rsidP="00A87168">
            <w:pPr>
              <w:spacing w:after="0" w:line="240" w:lineRule="auto"/>
              <w:jc w:val="both"/>
              <w:rPr>
                <w:rFonts w:ascii="Times New Roman" w:eastAsia="Times New Roman" w:hAnsi="Times New Roman" w:cs="Times New Roman"/>
                <w:b/>
                <w:sz w:val="24"/>
                <w:szCs w:val="24"/>
                <w:lang w:eastAsia="en-IN"/>
              </w:rPr>
            </w:pPr>
            <w:r w:rsidRPr="000E2A71">
              <w:rPr>
                <w:rFonts w:ascii="Times New Roman" w:eastAsia="Times New Roman" w:hAnsi="Times New Roman" w:cs="Times New Roman"/>
                <w:b/>
                <w:sz w:val="24"/>
                <w:szCs w:val="24"/>
                <w:lang w:eastAsia="en-IN"/>
              </w:rPr>
              <w:t>Aggregate Debt</w:t>
            </w:r>
          </w:p>
        </w:tc>
        <w:tc>
          <w:tcPr>
            <w:tcW w:w="1009" w:type="dxa"/>
            <w:shd w:val="clear" w:color="auto" w:fill="auto"/>
            <w:noWrap/>
            <w:vAlign w:val="bottom"/>
          </w:tcPr>
          <w:p w:rsidR="00877AAF" w:rsidRPr="000E2A71" w:rsidRDefault="00BD2193" w:rsidP="00A87168">
            <w:pPr>
              <w:spacing w:after="0" w:line="240" w:lineRule="auto"/>
              <w:jc w:val="both"/>
              <w:rPr>
                <w:rFonts w:ascii="Times New Roman" w:eastAsia="Times New Roman" w:hAnsi="Times New Roman" w:cs="Times New Roman"/>
                <w:b/>
                <w:sz w:val="24"/>
                <w:szCs w:val="24"/>
                <w:lang w:eastAsia="en-IN"/>
              </w:rPr>
            </w:pPr>
            <w:r w:rsidRPr="000E2A71">
              <w:rPr>
                <w:rFonts w:ascii="Times New Roman" w:eastAsia="Times New Roman" w:hAnsi="Times New Roman" w:cs="Times New Roman"/>
                <w:b/>
                <w:sz w:val="24"/>
                <w:szCs w:val="24"/>
                <w:lang w:eastAsia="en-IN"/>
              </w:rPr>
              <w:t>No. of Cases</w:t>
            </w:r>
          </w:p>
        </w:tc>
        <w:tc>
          <w:tcPr>
            <w:tcW w:w="1339" w:type="dxa"/>
            <w:shd w:val="clear" w:color="auto" w:fill="auto"/>
            <w:noWrap/>
            <w:vAlign w:val="bottom"/>
          </w:tcPr>
          <w:p w:rsidR="00877AAF" w:rsidRPr="000E2A71" w:rsidRDefault="00BD2193" w:rsidP="00A87168">
            <w:pPr>
              <w:spacing w:after="0" w:line="240" w:lineRule="auto"/>
              <w:jc w:val="both"/>
              <w:rPr>
                <w:rFonts w:ascii="Times New Roman" w:eastAsia="Times New Roman" w:hAnsi="Times New Roman" w:cs="Times New Roman"/>
                <w:b/>
                <w:sz w:val="24"/>
                <w:szCs w:val="24"/>
                <w:lang w:eastAsia="en-IN"/>
              </w:rPr>
            </w:pPr>
            <w:r w:rsidRPr="000E2A71">
              <w:rPr>
                <w:rFonts w:ascii="Times New Roman" w:eastAsia="Times New Roman" w:hAnsi="Times New Roman" w:cs="Times New Roman"/>
                <w:b/>
                <w:sz w:val="24"/>
                <w:szCs w:val="24"/>
                <w:lang w:eastAsia="en-IN"/>
              </w:rPr>
              <w:t>Aggregate Debt</w:t>
            </w:r>
          </w:p>
        </w:tc>
        <w:tc>
          <w:tcPr>
            <w:tcW w:w="1009" w:type="dxa"/>
            <w:shd w:val="clear" w:color="auto" w:fill="auto"/>
            <w:noWrap/>
            <w:vAlign w:val="bottom"/>
          </w:tcPr>
          <w:p w:rsidR="00877AAF" w:rsidRPr="000E2A71" w:rsidRDefault="00BD2193" w:rsidP="00A87168">
            <w:pPr>
              <w:spacing w:after="0" w:line="240" w:lineRule="auto"/>
              <w:jc w:val="both"/>
              <w:rPr>
                <w:rFonts w:ascii="Times New Roman" w:eastAsia="Times New Roman" w:hAnsi="Times New Roman" w:cs="Times New Roman"/>
                <w:b/>
                <w:sz w:val="24"/>
                <w:szCs w:val="24"/>
                <w:lang w:eastAsia="en-IN"/>
              </w:rPr>
            </w:pPr>
            <w:r w:rsidRPr="000E2A71">
              <w:rPr>
                <w:rFonts w:ascii="Times New Roman" w:eastAsia="Times New Roman" w:hAnsi="Times New Roman" w:cs="Times New Roman"/>
                <w:b/>
                <w:sz w:val="24"/>
                <w:szCs w:val="24"/>
                <w:lang w:eastAsia="en-IN"/>
              </w:rPr>
              <w:t>No. of Cases</w:t>
            </w:r>
          </w:p>
        </w:tc>
        <w:tc>
          <w:tcPr>
            <w:tcW w:w="1339" w:type="dxa"/>
            <w:shd w:val="clear" w:color="auto" w:fill="auto"/>
            <w:noWrap/>
            <w:vAlign w:val="bottom"/>
          </w:tcPr>
          <w:p w:rsidR="00877AAF" w:rsidRPr="000E2A71" w:rsidRDefault="00BD2193" w:rsidP="00A87168">
            <w:pPr>
              <w:spacing w:after="0" w:line="240" w:lineRule="auto"/>
              <w:jc w:val="both"/>
              <w:rPr>
                <w:rFonts w:ascii="Times New Roman" w:eastAsia="Times New Roman" w:hAnsi="Times New Roman" w:cs="Times New Roman"/>
                <w:b/>
                <w:sz w:val="24"/>
                <w:szCs w:val="24"/>
                <w:lang w:eastAsia="en-IN"/>
              </w:rPr>
            </w:pPr>
            <w:r w:rsidRPr="000E2A71">
              <w:rPr>
                <w:rFonts w:ascii="Times New Roman" w:eastAsia="Times New Roman" w:hAnsi="Times New Roman" w:cs="Times New Roman"/>
                <w:b/>
                <w:sz w:val="24"/>
                <w:szCs w:val="24"/>
                <w:lang w:eastAsia="en-IN"/>
              </w:rPr>
              <w:t>Aggregate Debt</w:t>
            </w:r>
          </w:p>
        </w:tc>
        <w:tc>
          <w:tcPr>
            <w:tcW w:w="1009" w:type="dxa"/>
            <w:shd w:val="clear" w:color="auto" w:fill="auto"/>
            <w:noWrap/>
            <w:vAlign w:val="bottom"/>
          </w:tcPr>
          <w:p w:rsidR="00877AAF" w:rsidRPr="000E2A71" w:rsidRDefault="00BD2193" w:rsidP="00A87168">
            <w:pPr>
              <w:spacing w:after="0" w:line="240" w:lineRule="auto"/>
              <w:jc w:val="both"/>
              <w:rPr>
                <w:rFonts w:ascii="Times New Roman" w:eastAsia="Times New Roman" w:hAnsi="Times New Roman" w:cs="Times New Roman"/>
                <w:b/>
                <w:sz w:val="24"/>
                <w:szCs w:val="24"/>
                <w:lang w:eastAsia="en-IN"/>
              </w:rPr>
            </w:pPr>
            <w:r w:rsidRPr="000E2A71">
              <w:rPr>
                <w:rFonts w:ascii="Times New Roman" w:eastAsia="Times New Roman" w:hAnsi="Times New Roman" w:cs="Times New Roman"/>
                <w:b/>
                <w:sz w:val="24"/>
                <w:szCs w:val="24"/>
                <w:lang w:eastAsia="en-IN"/>
              </w:rPr>
              <w:t>No. of Cases</w:t>
            </w:r>
          </w:p>
        </w:tc>
        <w:tc>
          <w:tcPr>
            <w:tcW w:w="1339" w:type="dxa"/>
            <w:shd w:val="clear" w:color="auto" w:fill="auto"/>
            <w:noWrap/>
            <w:vAlign w:val="bottom"/>
          </w:tcPr>
          <w:p w:rsidR="00877AAF" w:rsidRPr="000E2A71" w:rsidRDefault="00BD2193" w:rsidP="00A87168">
            <w:pPr>
              <w:spacing w:after="0" w:line="240" w:lineRule="auto"/>
              <w:jc w:val="both"/>
              <w:rPr>
                <w:rFonts w:ascii="Times New Roman" w:eastAsia="Times New Roman" w:hAnsi="Times New Roman" w:cs="Times New Roman"/>
                <w:b/>
                <w:sz w:val="24"/>
                <w:szCs w:val="24"/>
                <w:lang w:eastAsia="en-IN"/>
              </w:rPr>
            </w:pPr>
            <w:r w:rsidRPr="000E2A71">
              <w:rPr>
                <w:rFonts w:ascii="Times New Roman" w:eastAsia="Times New Roman" w:hAnsi="Times New Roman" w:cs="Times New Roman"/>
                <w:b/>
                <w:sz w:val="24"/>
                <w:szCs w:val="24"/>
                <w:lang w:eastAsia="en-IN"/>
              </w:rPr>
              <w:t>Aggregate Debt</w:t>
            </w:r>
          </w:p>
        </w:tc>
      </w:tr>
      <w:tr w:rsidR="005E141E" w:rsidRPr="005F3303">
        <w:trPr>
          <w:trHeight w:val="300"/>
        </w:trPr>
        <w:tc>
          <w:tcPr>
            <w:tcW w:w="1008" w:type="dxa"/>
            <w:shd w:val="clear" w:color="auto" w:fill="auto"/>
            <w:noWrap/>
            <w:vAlign w:val="bottom"/>
          </w:tcPr>
          <w:p w:rsidR="00877AAF" w:rsidRPr="005F3303" w:rsidRDefault="00BD2193" w:rsidP="00A87168">
            <w:pPr>
              <w:spacing w:after="0" w:line="240" w:lineRule="auto"/>
              <w:jc w:val="center"/>
              <w:rPr>
                <w:rFonts w:ascii="Times New Roman" w:eastAsia="Times New Roman" w:hAnsi="Times New Roman" w:cs="Times New Roman"/>
                <w:sz w:val="24"/>
                <w:szCs w:val="24"/>
                <w:lang w:eastAsia="en-IN"/>
              </w:rPr>
            </w:pPr>
            <w:r w:rsidRPr="005F3303">
              <w:rPr>
                <w:rFonts w:ascii="Times New Roman" w:eastAsia="Times New Roman" w:hAnsi="Times New Roman" w:cs="Times New Roman"/>
                <w:sz w:val="24"/>
                <w:szCs w:val="24"/>
                <w:lang w:eastAsia="en-IN"/>
              </w:rPr>
              <w:t>476</w:t>
            </w:r>
          </w:p>
        </w:tc>
        <w:tc>
          <w:tcPr>
            <w:tcW w:w="1338" w:type="dxa"/>
            <w:shd w:val="clear" w:color="auto" w:fill="auto"/>
            <w:noWrap/>
            <w:vAlign w:val="bottom"/>
          </w:tcPr>
          <w:p w:rsidR="00877AAF" w:rsidRPr="005F3303" w:rsidRDefault="00BD2193" w:rsidP="00A87168">
            <w:pPr>
              <w:spacing w:after="0" w:line="240" w:lineRule="auto"/>
              <w:jc w:val="center"/>
              <w:rPr>
                <w:rFonts w:ascii="Times New Roman" w:eastAsia="Times New Roman" w:hAnsi="Times New Roman" w:cs="Times New Roman"/>
                <w:sz w:val="24"/>
                <w:szCs w:val="24"/>
                <w:lang w:eastAsia="en-IN"/>
              </w:rPr>
            </w:pPr>
            <w:r w:rsidRPr="005F3303">
              <w:rPr>
                <w:rFonts w:ascii="Times New Roman" w:eastAsia="Times New Roman" w:hAnsi="Times New Roman" w:cs="Times New Roman"/>
                <w:sz w:val="24"/>
                <w:szCs w:val="24"/>
                <w:lang w:eastAsia="en-IN"/>
              </w:rPr>
              <w:t>60.08</w:t>
            </w:r>
          </w:p>
        </w:tc>
        <w:tc>
          <w:tcPr>
            <w:tcW w:w="1009" w:type="dxa"/>
            <w:shd w:val="clear" w:color="auto" w:fill="auto"/>
            <w:noWrap/>
            <w:vAlign w:val="bottom"/>
          </w:tcPr>
          <w:p w:rsidR="00877AAF" w:rsidRPr="005F3303" w:rsidRDefault="00BD2193" w:rsidP="00A87168">
            <w:pPr>
              <w:spacing w:after="0" w:line="240" w:lineRule="auto"/>
              <w:jc w:val="center"/>
              <w:rPr>
                <w:rFonts w:ascii="Times New Roman" w:eastAsia="Times New Roman" w:hAnsi="Times New Roman" w:cs="Times New Roman"/>
                <w:sz w:val="24"/>
                <w:szCs w:val="24"/>
                <w:lang w:eastAsia="en-IN"/>
              </w:rPr>
            </w:pPr>
            <w:r w:rsidRPr="005F3303">
              <w:rPr>
                <w:rFonts w:ascii="Times New Roman" w:eastAsia="Times New Roman" w:hAnsi="Times New Roman" w:cs="Times New Roman"/>
                <w:sz w:val="24"/>
                <w:szCs w:val="24"/>
                <w:lang w:eastAsia="en-IN"/>
              </w:rPr>
              <w:t>121</w:t>
            </w:r>
          </w:p>
        </w:tc>
        <w:tc>
          <w:tcPr>
            <w:tcW w:w="1339" w:type="dxa"/>
            <w:shd w:val="clear" w:color="auto" w:fill="auto"/>
            <w:noWrap/>
            <w:vAlign w:val="bottom"/>
          </w:tcPr>
          <w:p w:rsidR="00877AAF" w:rsidRPr="005F3303" w:rsidRDefault="00BD2193" w:rsidP="00A87168">
            <w:pPr>
              <w:spacing w:after="0" w:line="240" w:lineRule="auto"/>
              <w:jc w:val="center"/>
              <w:rPr>
                <w:rFonts w:ascii="Times New Roman" w:eastAsia="Times New Roman" w:hAnsi="Times New Roman" w:cs="Times New Roman"/>
                <w:sz w:val="24"/>
                <w:szCs w:val="24"/>
                <w:lang w:eastAsia="en-IN"/>
              </w:rPr>
            </w:pPr>
            <w:r w:rsidRPr="005F3303">
              <w:rPr>
                <w:rFonts w:ascii="Times New Roman" w:eastAsia="Times New Roman" w:hAnsi="Times New Roman" w:cs="Times New Roman"/>
                <w:sz w:val="24"/>
                <w:szCs w:val="24"/>
                <w:lang w:eastAsia="en-IN"/>
              </w:rPr>
              <w:t>5.43</w:t>
            </w:r>
          </w:p>
        </w:tc>
        <w:tc>
          <w:tcPr>
            <w:tcW w:w="1009" w:type="dxa"/>
            <w:shd w:val="clear" w:color="auto" w:fill="auto"/>
            <w:noWrap/>
            <w:vAlign w:val="bottom"/>
          </w:tcPr>
          <w:p w:rsidR="00877AAF" w:rsidRPr="005F3303" w:rsidRDefault="00BD2193" w:rsidP="00A87168">
            <w:pPr>
              <w:spacing w:after="0" w:line="240" w:lineRule="auto"/>
              <w:jc w:val="center"/>
              <w:rPr>
                <w:rFonts w:ascii="Times New Roman" w:eastAsia="Times New Roman" w:hAnsi="Times New Roman" w:cs="Times New Roman"/>
                <w:sz w:val="24"/>
                <w:szCs w:val="24"/>
                <w:lang w:eastAsia="en-IN"/>
              </w:rPr>
            </w:pPr>
            <w:r w:rsidRPr="005F3303">
              <w:rPr>
                <w:rFonts w:ascii="Times New Roman" w:eastAsia="Times New Roman" w:hAnsi="Times New Roman" w:cs="Times New Roman"/>
                <w:sz w:val="24"/>
                <w:szCs w:val="24"/>
                <w:lang w:eastAsia="en-IN"/>
              </w:rPr>
              <w:t>75</w:t>
            </w:r>
          </w:p>
        </w:tc>
        <w:tc>
          <w:tcPr>
            <w:tcW w:w="1339" w:type="dxa"/>
            <w:shd w:val="clear" w:color="auto" w:fill="auto"/>
            <w:noWrap/>
            <w:vAlign w:val="bottom"/>
          </w:tcPr>
          <w:p w:rsidR="00877AAF" w:rsidRPr="005F3303" w:rsidRDefault="00BD2193" w:rsidP="00A87168">
            <w:pPr>
              <w:spacing w:after="0" w:line="240" w:lineRule="auto"/>
              <w:jc w:val="center"/>
              <w:rPr>
                <w:rFonts w:ascii="Times New Roman" w:eastAsia="Times New Roman" w:hAnsi="Times New Roman" w:cs="Times New Roman"/>
                <w:sz w:val="24"/>
                <w:szCs w:val="24"/>
                <w:lang w:eastAsia="en-IN"/>
              </w:rPr>
            </w:pPr>
            <w:r w:rsidRPr="005F3303">
              <w:rPr>
                <w:rFonts w:ascii="Times New Roman" w:eastAsia="Times New Roman" w:hAnsi="Times New Roman" w:cs="Times New Roman"/>
                <w:sz w:val="24"/>
                <w:szCs w:val="24"/>
                <w:lang w:eastAsia="en-IN"/>
              </w:rPr>
              <w:t>10.58</w:t>
            </w:r>
          </w:p>
        </w:tc>
        <w:tc>
          <w:tcPr>
            <w:tcW w:w="1009" w:type="dxa"/>
            <w:shd w:val="clear" w:color="auto" w:fill="auto"/>
            <w:noWrap/>
            <w:vAlign w:val="bottom"/>
          </w:tcPr>
          <w:p w:rsidR="00877AAF" w:rsidRPr="005F3303" w:rsidRDefault="00BD2193" w:rsidP="00A87168">
            <w:pPr>
              <w:spacing w:after="0" w:line="240" w:lineRule="auto"/>
              <w:jc w:val="center"/>
              <w:rPr>
                <w:rFonts w:ascii="Times New Roman" w:eastAsia="Times New Roman" w:hAnsi="Times New Roman" w:cs="Times New Roman"/>
                <w:sz w:val="24"/>
                <w:szCs w:val="24"/>
                <w:lang w:eastAsia="en-IN"/>
              </w:rPr>
            </w:pPr>
            <w:r w:rsidRPr="005F3303">
              <w:rPr>
                <w:rFonts w:ascii="Times New Roman" w:eastAsia="Times New Roman" w:hAnsi="Times New Roman" w:cs="Times New Roman"/>
                <w:sz w:val="24"/>
                <w:szCs w:val="24"/>
                <w:lang w:eastAsia="en-IN"/>
              </w:rPr>
              <w:t>280</w:t>
            </w:r>
          </w:p>
        </w:tc>
        <w:tc>
          <w:tcPr>
            <w:tcW w:w="1339" w:type="dxa"/>
            <w:shd w:val="clear" w:color="auto" w:fill="auto"/>
            <w:noWrap/>
            <w:vAlign w:val="bottom"/>
          </w:tcPr>
          <w:p w:rsidR="00877AAF" w:rsidRPr="005F3303" w:rsidRDefault="00BD2193" w:rsidP="00A87168">
            <w:pPr>
              <w:spacing w:after="0" w:line="240" w:lineRule="auto"/>
              <w:jc w:val="center"/>
              <w:rPr>
                <w:rFonts w:ascii="Times New Roman" w:eastAsia="Times New Roman" w:hAnsi="Times New Roman" w:cs="Times New Roman"/>
                <w:sz w:val="24"/>
                <w:szCs w:val="24"/>
                <w:lang w:eastAsia="en-IN"/>
              </w:rPr>
            </w:pPr>
            <w:r w:rsidRPr="005F3303">
              <w:rPr>
                <w:rFonts w:ascii="Times New Roman" w:eastAsia="Times New Roman" w:hAnsi="Times New Roman" w:cs="Times New Roman"/>
                <w:sz w:val="24"/>
                <w:szCs w:val="24"/>
                <w:lang w:eastAsia="en-IN"/>
              </w:rPr>
              <w:t>44.05</w:t>
            </w:r>
          </w:p>
        </w:tc>
      </w:tr>
    </w:tbl>
    <w:p w:rsidR="00877AAF" w:rsidRPr="0011155D" w:rsidRDefault="00BD2193" w:rsidP="00A87168">
      <w:pPr>
        <w:autoSpaceDE w:val="0"/>
        <w:autoSpaceDN w:val="0"/>
        <w:adjustRightInd w:val="0"/>
        <w:spacing w:after="0" w:line="240" w:lineRule="auto"/>
        <w:jc w:val="both"/>
        <w:rPr>
          <w:rFonts w:ascii="Times New Roman" w:hAnsi="Times New Roman" w:cs="Times New Roman"/>
          <w:szCs w:val="24"/>
        </w:rPr>
      </w:pPr>
      <w:r w:rsidRPr="0011155D">
        <w:rPr>
          <w:rStyle w:val="apple-converted-space"/>
          <w:rFonts w:ascii="Times New Roman" w:hAnsi="Times New Roman" w:cs="Times New Roman"/>
          <w:i/>
          <w:szCs w:val="24"/>
          <w:shd w:val="clear" w:color="auto" w:fill="FFFFFF"/>
        </w:rPr>
        <w:t>Source : CDR Cell</w:t>
      </w:r>
    </w:p>
    <w:p w:rsidR="00FC0B68" w:rsidRPr="005F330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364F82" w:rsidRDefault="00BD2193" w:rsidP="00A87168">
      <w:pPr>
        <w:spacing w:line="240" w:lineRule="auto"/>
        <w:jc w:val="both"/>
        <w:rPr>
          <w:rFonts w:ascii="Times New Roman" w:hAnsi="Times New Roman" w:cs="Times New Roman"/>
          <w:sz w:val="24"/>
          <w:szCs w:val="24"/>
        </w:rPr>
      </w:pPr>
      <w:r w:rsidRPr="005F3303">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3114675" cy="2867025"/>
            <wp:effectExtent l="0" t="0" r="9525" b="9525"/>
            <wp:wrapTight wrapText="bothSides">
              <wp:wrapPolygon edited="0">
                <wp:start x="0" y="0"/>
                <wp:lineTo x="0" y="21528"/>
                <wp:lineTo x="21534" y="21528"/>
                <wp:lineTo x="21534"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Times New Roman" w:hAnsi="Times New Roman" w:cs="Times New Roman"/>
          <w:sz w:val="24"/>
          <w:szCs w:val="24"/>
        </w:rPr>
        <w:t>O</w:t>
      </w:r>
      <w:r w:rsidRPr="005F3303">
        <w:rPr>
          <w:rFonts w:ascii="Times New Roman" w:hAnsi="Times New Roman" w:cs="Times New Roman"/>
          <w:sz w:val="24"/>
          <w:szCs w:val="24"/>
        </w:rPr>
        <w:t xml:space="preserve">n an industry-wise analysis of the CDR cases, it may be seen that across all the years, a few sectors such as infrastructure, iron &amp; steel, textile, power and telecom </w:t>
      </w:r>
      <w:r>
        <w:rPr>
          <w:rFonts w:ascii="Times New Roman" w:hAnsi="Times New Roman" w:cs="Times New Roman"/>
          <w:sz w:val="24"/>
          <w:szCs w:val="24"/>
        </w:rPr>
        <w:t>all of which are heavily leveraged and capital intensive, accounted</w:t>
      </w:r>
      <w:r w:rsidRPr="005F3303">
        <w:rPr>
          <w:rFonts w:ascii="Times New Roman" w:hAnsi="Times New Roman" w:cs="Times New Roman"/>
          <w:sz w:val="24"/>
          <w:szCs w:val="24"/>
        </w:rPr>
        <w:t xml:space="preserve"> for more than 60% of all the cases referred to CDR cell.</w:t>
      </w:r>
      <w:r>
        <w:rPr>
          <w:rFonts w:ascii="Times New Roman" w:hAnsi="Times New Roman" w:cs="Times New Roman"/>
          <w:sz w:val="24"/>
          <w:szCs w:val="24"/>
        </w:rPr>
        <w:t xml:space="preserve"> </w:t>
      </w:r>
    </w:p>
    <w:p w:rsidR="008F3DCB" w:rsidRPr="005F3303" w:rsidRDefault="00BD2193" w:rsidP="00A87168">
      <w:pPr>
        <w:autoSpaceDE w:val="0"/>
        <w:autoSpaceDN w:val="0"/>
        <w:adjustRightInd w:val="0"/>
        <w:spacing w:after="0" w:line="240" w:lineRule="auto"/>
        <w:jc w:val="both"/>
        <w:rPr>
          <w:rStyle w:val="apple-converted-space"/>
        </w:rPr>
      </w:pPr>
      <w:r>
        <w:rPr>
          <w:rFonts w:ascii="Times New Roman" w:hAnsi="Times New Roman" w:cs="Times New Roman"/>
          <w:sz w:val="24"/>
          <w:szCs w:val="24"/>
        </w:rPr>
        <w:t>Banks have reported that</w:t>
      </w:r>
      <w:r w:rsidRPr="005F3303">
        <w:rPr>
          <w:rFonts w:ascii="Times New Roman" w:hAnsi="Times New Roman" w:cs="Times New Roman"/>
          <w:sz w:val="24"/>
          <w:szCs w:val="24"/>
        </w:rPr>
        <w:t xml:space="preserve"> 10-15% of the restructured loans turn bad </w:t>
      </w:r>
      <w:r>
        <w:rPr>
          <w:rFonts w:ascii="Times New Roman" w:hAnsi="Times New Roman" w:cs="Times New Roman"/>
          <w:sz w:val="24"/>
          <w:szCs w:val="24"/>
        </w:rPr>
        <w:t>which is an increase from corresponding figures about 2-3 years back</w:t>
      </w:r>
      <w:r w:rsidRPr="005F3303">
        <w:rPr>
          <w:rFonts w:ascii="Times New Roman" w:hAnsi="Times New Roman" w:cs="Times New Roman"/>
          <w:sz w:val="24"/>
          <w:szCs w:val="24"/>
        </w:rPr>
        <w:t xml:space="preserve">. </w:t>
      </w:r>
      <w:r>
        <w:rPr>
          <w:rFonts w:ascii="Times New Roman" w:hAnsi="Times New Roman" w:cs="Times New Roman"/>
          <w:sz w:val="24"/>
          <w:szCs w:val="24"/>
        </w:rPr>
        <w:t xml:space="preserve">Bankers have also increasingly voiced concern </w:t>
      </w:r>
      <w:r w:rsidRPr="005F3303">
        <w:rPr>
          <w:rFonts w:ascii="Times New Roman" w:hAnsi="Times New Roman" w:cs="Times New Roman"/>
          <w:sz w:val="24"/>
          <w:szCs w:val="24"/>
        </w:rPr>
        <w:t xml:space="preserve">that borrowers have been misusing the facility and passing on their burden to the lenders. The rising number of loan recasts across the sector has resulted in a spike in </w:t>
      </w:r>
      <w:r>
        <w:rPr>
          <w:rFonts w:ascii="Times New Roman" w:hAnsi="Times New Roman" w:cs="Times New Roman"/>
          <w:sz w:val="24"/>
          <w:szCs w:val="24"/>
        </w:rPr>
        <w:t>N</w:t>
      </w:r>
      <w:r w:rsidRPr="005F3303">
        <w:rPr>
          <w:rFonts w:ascii="Times New Roman" w:hAnsi="Times New Roman" w:cs="Times New Roman"/>
          <w:sz w:val="24"/>
          <w:szCs w:val="24"/>
        </w:rPr>
        <w:t>PL</w:t>
      </w:r>
      <w:r>
        <w:rPr>
          <w:rFonts w:ascii="Times New Roman" w:hAnsi="Times New Roman" w:cs="Times New Roman"/>
          <w:sz w:val="24"/>
          <w:szCs w:val="24"/>
        </w:rPr>
        <w:t>s</w:t>
      </w:r>
      <w:r w:rsidRPr="005F3303">
        <w:rPr>
          <w:rFonts w:ascii="Times New Roman" w:hAnsi="Times New Roman" w:cs="Times New Roman"/>
          <w:sz w:val="24"/>
          <w:szCs w:val="24"/>
        </w:rPr>
        <w:t xml:space="preserve"> in the banking sector. Out of total banking credit outstanding as on </w:t>
      </w:r>
      <w:r>
        <w:rPr>
          <w:rFonts w:ascii="Times New Roman" w:hAnsi="Times New Roman" w:cs="Times New Roman"/>
          <w:sz w:val="24"/>
          <w:szCs w:val="24"/>
        </w:rPr>
        <w:t>30</w:t>
      </w:r>
      <w:r w:rsidRPr="00A943CE">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2013, of $</w:t>
      </w:r>
      <w:r w:rsidRPr="005F3303">
        <w:rPr>
          <w:rFonts w:ascii="Times New Roman" w:hAnsi="Times New Roman" w:cs="Times New Roman"/>
          <w:sz w:val="24"/>
          <w:szCs w:val="24"/>
        </w:rPr>
        <w:t>10</w:t>
      </w:r>
      <w:r>
        <w:rPr>
          <w:rFonts w:ascii="Times New Roman" w:hAnsi="Times New Roman" w:cs="Times New Roman"/>
          <w:sz w:val="24"/>
          <w:szCs w:val="24"/>
        </w:rPr>
        <w:t>60</w:t>
      </w:r>
      <w:r w:rsidRPr="005F3303">
        <w:rPr>
          <w:rFonts w:ascii="Times New Roman" w:hAnsi="Times New Roman" w:cs="Times New Roman"/>
          <w:sz w:val="24"/>
          <w:szCs w:val="24"/>
        </w:rPr>
        <w:t xml:space="preserve"> bn, non</w:t>
      </w:r>
      <w:r>
        <w:rPr>
          <w:rFonts w:ascii="Times New Roman" w:hAnsi="Times New Roman" w:cs="Times New Roman"/>
          <w:sz w:val="24"/>
          <w:szCs w:val="24"/>
        </w:rPr>
        <w:t>-</w:t>
      </w:r>
      <w:r w:rsidRPr="005F3303">
        <w:rPr>
          <w:rFonts w:ascii="Times New Roman" w:hAnsi="Times New Roman" w:cs="Times New Roman"/>
          <w:sz w:val="24"/>
          <w:szCs w:val="24"/>
        </w:rPr>
        <w:t xml:space="preserve">performing and restructured loans amounted to almost </w:t>
      </w:r>
      <w:r>
        <w:rPr>
          <w:rFonts w:ascii="Times New Roman" w:hAnsi="Times New Roman" w:cs="Times New Roman"/>
          <w:sz w:val="24"/>
          <w:szCs w:val="24"/>
        </w:rPr>
        <w:t xml:space="preserve">10% i.e. </w:t>
      </w:r>
      <w:r w:rsidRPr="005F3303">
        <w:rPr>
          <w:rFonts w:ascii="Times New Roman" w:hAnsi="Times New Roman" w:cs="Times New Roman"/>
          <w:sz w:val="24"/>
          <w:szCs w:val="24"/>
        </w:rPr>
        <w:t>$100 bn.</w:t>
      </w:r>
    </w:p>
    <w:p w:rsidR="00D647BB"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220C7D" w:rsidRPr="005F3303" w:rsidRDefault="00BD2193" w:rsidP="00A87168">
      <w:pPr>
        <w:autoSpaceDE w:val="0"/>
        <w:autoSpaceDN w:val="0"/>
        <w:adjustRightInd w:val="0"/>
        <w:spacing w:after="0" w:line="240" w:lineRule="auto"/>
        <w:jc w:val="both"/>
        <w:rPr>
          <w:rStyle w:val="apple-converted-space"/>
        </w:rPr>
      </w:pPr>
      <w:r w:rsidRPr="005F3303">
        <w:rPr>
          <w:rFonts w:ascii="Times New Roman" w:hAnsi="Times New Roman" w:cs="Times New Roman"/>
          <w:sz w:val="24"/>
          <w:szCs w:val="24"/>
        </w:rPr>
        <w:t xml:space="preserve">The </w:t>
      </w:r>
      <w:r>
        <w:rPr>
          <w:rFonts w:ascii="Times New Roman" w:hAnsi="Times New Roman" w:cs="Times New Roman"/>
          <w:sz w:val="24"/>
          <w:szCs w:val="24"/>
        </w:rPr>
        <w:t>main</w:t>
      </w:r>
      <w:r w:rsidRPr="005F3303">
        <w:rPr>
          <w:rFonts w:ascii="Times New Roman" w:hAnsi="Times New Roman" w:cs="Times New Roman"/>
          <w:sz w:val="24"/>
          <w:szCs w:val="24"/>
        </w:rPr>
        <w:t xml:space="preserve"> reason for </w:t>
      </w:r>
      <w:r>
        <w:rPr>
          <w:rFonts w:ascii="Times New Roman" w:hAnsi="Times New Roman" w:cs="Times New Roman"/>
          <w:sz w:val="24"/>
          <w:szCs w:val="24"/>
        </w:rPr>
        <w:t>this surge</w:t>
      </w:r>
      <w:r w:rsidRPr="005F3303">
        <w:rPr>
          <w:rFonts w:ascii="Times New Roman" w:hAnsi="Times New Roman" w:cs="Times New Roman"/>
          <w:sz w:val="24"/>
          <w:szCs w:val="24"/>
        </w:rPr>
        <w:t xml:space="preserve"> </w:t>
      </w:r>
      <w:r>
        <w:rPr>
          <w:rFonts w:ascii="Times New Roman" w:hAnsi="Times New Roman" w:cs="Times New Roman"/>
          <w:sz w:val="24"/>
          <w:szCs w:val="24"/>
        </w:rPr>
        <w:t xml:space="preserve">can </w:t>
      </w:r>
      <w:r w:rsidRPr="005F3303">
        <w:rPr>
          <w:rFonts w:ascii="Times New Roman" w:hAnsi="Times New Roman" w:cs="Times New Roman"/>
          <w:sz w:val="24"/>
          <w:szCs w:val="24"/>
        </w:rPr>
        <w:t xml:space="preserve">be </w:t>
      </w:r>
      <w:r w:rsidRPr="006264E0">
        <w:rPr>
          <w:rFonts w:ascii="Times New Roman" w:hAnsi="Times New Roman" w:cs="Times New Roman"/>
          <w:sz w:val="24"/>
          <w:szCs w:val="24"/>
        </w:rPr>
        <w:t>epithetical</w:t>
      </w:r>
      <w:r w:rsidRPr="005F3303">
        <w:rPr>
          <w:rFonts w:ascii="Times New Roman" w:hAnsi="Times New Roman" w:cs="Times New Roman"/>
          <w:sz w:val="24"/>
          <w:szCs w:val="24"/>
        </w:rPr>
        <w:t xml:space="preserve"> to the mounting debt of </w:t>
      </w:r>
      <w:r>
        <w:rPr>
          <w:rFonts w:ascii="Times New Roman" w:hAnsi="Times New Roman" w:cs="Times New Roman"/>
          <w:sz w:val="24"/>
          <w:szCs w:val="24"/>
        </w:rPr>
        <w:t xml:space="preserve">the corporates </w:t>
      </w:r>
      <w:r w:rsidRPr="005F3303">
        <w:rPr>
          <w:rFonts w:ascii="Times New Roman" w:hAnsi="Times New Roman" w:cs="Times New Roman"/>
          <w:sz w:val="24"/>
          <w:szCs w:val="24"/>
        </w:rPr>
        <w:t xml:space="preserve">along with a drop in the returns </w:t>
      </w:r>
      <w:r>
        <w:rPr>
          <w:rFonts w:ascii="Times New Roman" w:hAnsi="Times New Roman" w:cs="Times New Roman"/>
          <w:sz w:val="24"/>
          <w:szCs w:val="24"/>
        </w:rPr>
        <w:t>which has resulted in several of the famous and listed corporate houses of the country facing challenges in servicing debt</w:t>
      </w:r>
      <w:r w:rsidRPr="005F3303">
        <w:rPr>
          <w:rFonts w:ascii="Times New Roman" w:hAnsi="Times New Roman" w:cs="Times New Roman"/>
          <w:sz w:val="24"/>
          <w:szCs w:val="24"/>
        </w:rPr>
        <w:t xml:space="preserve">. The </w:t>
      </w:r>
      <w:r w:rsidRPr="005F3303">
        <w:rPr>
          <w:rFonts w:ascii="Times New Roman" w:hAnsi="Times New Roman" w:cs="Times New Roman"/>
          <w:sz w:val="24"/>
          <w:szCs w:val="24"/>
          <w:shd w:val="clear" w:color="auto" w:fill="FFFFFF"/>
        </w:rPr>
        <w:t xml:space="preserve">Indian </w:t>
      </w:r>
      <w:r>
        <w:rPr>
          <w:rFonts w:ascii="Times New Roman" w:hAnsi="Times New Roman" w:cs="Times New Roman"/>
          <w:sz w:val="24"/>
          <w:szCs w:val="24"/>
          <w:shd w:val="clear" w:color="auto" w:fill="FFFFFF"/>
        </w:rPr>
        <w:t>e</w:t>
      </w:r>
      <w:r w:rsidRPr="005F3303">
        <w:rPr>
          <w:rFonts w:ascii="Times New Roman" w:hAnsi="Times New Roman" w:cs="Times New Roman"/>
          <w:sz w:val="24"/>
          <w:szCs w:val="24"/>
          <w:shd w:val="clear" w:color="auto" w:fill="FFFFFF"/>
        </w:rPr>
        <w:t>conomy</w:t>
      </w:r>
      <w:r>
        <w:rPr>
          <w:rFonts w:ascii="Times New Roman" w:hAnsi="Times New Roman" w:cs="Times New Roman"/>
          <w:sz w:val="24"/>
          <w:szCs w:val="24"/>
          <w:shd w:val="clear" w:color="auto" w:fill="FFFFFF"/>
        </w:rPr>
        <w:t>,</w:t>
      </w:r>
      <w:r w:rsidRPr="005F330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which </w:t>
      </w:r>
      <w:r w:rsidRPr="005F3303">
        <w:rPr>
          <w:rFonts w:ascii="Times New Roman" w:hAnsi="Times New Roman" w:cs="Times New Roman"/>
          <w:sz w:val="24"/>
          <w:szCs w:val="24"/>
          <w:shd w:val="clear" w:color="auto" w:fill="FFFFFF"/>
        </w:rPr>
        <w:t>was growing at the pace of 9% p.a. just about 2 years ago</w:t>
      </w:r>
      <w:r>
        <w:rPr>
          <w:rFonts w:ascii="Times New Roman" w:hAnsi="Times New Roman" w:cs="Times New Roman"/>
          <w:sz w:val="24"/>
          <w:szCs w:val="24"/>
          <w:shd w:val="clear" w:color="auto" w:fill="FFFFFF"/>
        </w:rPr>
        <w:t>,</w:t>
      </w:r>
      <w:r w:rsidRPr="005F3303">
        <w:rPr>
          <w:rFonts w:ascii="Times New Roman" w:hAnsi="Times New Roman" w:cs="Times New Roman"/>
          <w:sz w:val="24"/>
          <w:szCs w:val="24"/>
          <w:shd w:val="clear" w:color="auto" w:fill="FFFFFF"/>
        </w:rPr>
        <w:t xml:space="preserve"> has decreased by more than half now. So, every investment that was geared at a 9% rate is now geared for 4.5 % rate. Further, high interest rates, slowed economy and project delays </w:t>
      </w:r>
      <w:r>
        <w:rPr>
          <w:rFonts w:ascii="Times New Roman" w:hAnsi="Times New Roman" w:cs="Times New Roman"/>
          <w:sz w:val="24"/>
          <w:szCs w:val="24"/>
          <w:shd w:val="clear" w:color="auto" w:fill="FFFFFF"/>
        </w:rPr>
        <w:t xml:space="preserve">have also dented </w:t>
      </w:r>
      <w:r w:rsidRPr="005F3303">
        <w:rPr>
          <w:rFonts w:ascii="Times New Roman" w:hAnsi="Times New Roman" w:cs="Times New Roman"/>
          <w:sz w:val="24"/>
          <w:szCs w:val="24"/>
          <w:shd w:val="clear" w:color="auto" w:fill="FFFFFF"/>
        </w:rPr>
        <w:t xml:space="preserve">the ability of Indian companies to repay their loans and </w:t>
      </w:r>
      <w:r>
        <w:rPr>
          <w:rFonts w:ascii="Times New Roman" w:hAnsi="Times New Roman" w:cs="Times New Roman"/>
          <w:sz w:val="24"/>
          <w:szCs w:val="24"/>
          <w:shd w:val="clear" w:color="auto" w:fill="FFFFFF"/>
        </w:rPr>
        <w:t xml:space="preserve">this has </w:t>
      </w:r>
      <w:r w:rsidRPr="005F3303">
        <w:rPr>
          <w:rFonts w:ascii="Times New Roman" w:hAnsi="Times New Roman" w:cs="Times New Roman"/>
          <w:sz w:val="24"/>
          <w:szCs w:val="24"/>
          <w:shd w:val="clear" w:color="auto" w:fill="FFFFFF"/>
        </w:rPr>
        <w:t xml:space="preserve">led to the unprecedented </w:t>
      </w:r>
      <w:r>
        <w:rPr>
          <w:rFonts w:ascii="Times New Roman" w:hAnsi="Times New Roman" w:cs="Times New Roman"/>
          <w:sz w:val="24"/>
          <w:szCs w:val="24"/>
          <w:shd w:val="clear" w:color="auto" w:fill="FFFFFF"/>
        </w:rPr>
        <w:t>rise</w:t>
      </w:r>
      <w:r w:rsidRPr="005F3303">
        <w:rPr>
          <w:rFonts w:ascii="Times New Roman" w:hAnsi="Times New Roman" w:cs="Times New Roman"/>
          <w:sz w:val="24"/>
          <w:szCs w:val="24"/>
          <w:shd w:val="clear" w:color="auto" w:fill="FFFFFF"/>
        </w:rPr>
        <w:t xml:space="preserve"> in the restructuring cases. </w:t>
      </w:r>
    </w:p>
    <w:p w:rsidR="008F3DCB" w:rsidRPr="005F3303" w:rsidRDefault="004B1BED" w:rsidP="00A87168">
      <w:pPr>
        <w:autoSpaceDE w:val="0"/>
        <w:autoSpaceDN w:val="0"/>
        <w:adjustRightInd w:val="0"/>
        <w:spacing w:after="0" w:line="240" w:lineRule="auto"/>
        <w:jc w:val="both"/>
        <w:rPr>
          <w:rStyle w:val="apple-converted-space"/>
        </w:rPr>
      </w:pPr>
    </w:p>
    <w:p w:rsidR="00FC0B68" w:rsidRDefault="00BD2193" w:rsidP="00A87168">
      <w:pPr>
        <w:spacing w:line="240" w:lineRule="auto"/>
        <w:jc w:val="both"/>
        <w:rPr>
          <w:rFonts w:ascii="Times New Roman" w:hAnsi="Times New Roman" w:cs="Times New Roman"/>
          <w:sz w:val="24"/>
          <w:szCs w:val="24"/>
        </w:rPr>
      </w:pPr>
      <w:r w:rsidRPr="005F3303">
        <w:rPr>
          <w:rFonts w:ascii="Times New Roman" w:hAnsi="Times New Roman" w:cs="Times New Roman"/>
          <w:sz w:val="24"/>
          <w:szCs w:val="24"/>
        </w:rPr>
        <w:t>However, with the Indian economy on the path to recovery</w:t>
      </w:r>
      <w:r>
        <w:rPr>
          <w:rFonts w:ascii="Times New Roman" w:hAnsi="Times New Roman" w:cs="Times New Roman"/>
          <w:sz w:val="24"/>
          <w:szCs w:val="24"/>
        </w:rPr>
        <w:t>,</w:t>
      </w:r>
      <w:r w:rsidRPr="005F3303">
        <w:rPr>
          <w:rFonts w:ascii="Times New Roman" w:hAnsi="Times New Roman" w:cs="Times New Roman"/>
          <w:sz w:val="24"/>
          <w:szCs w:val="24"/>
        </w:rPr>
        <w:t xml:space="preserve"> a slew of reform measure</w:t>
      </w:r>
      <w:r>
        <w:rPr>
          <w:rFonts w:ascii="Times New Roman" w:hAnsi="Times New Roman" w:cs="Times New Roman"/>
          <w:sz w:val="24"/>
          <w:szCs w:val="24"/>
        </w:rPr>
        <w:t>s</w:t>
      </w:r>
      <w:r w:rsidRPr="005F3303">
        <w:rPr>
          <w:rFonts w:ascii="Times New Roman" w:hAnsi="Times New Roman" w:cs="Times New Roman"/>
          <w:sz w:val="24"/>
          <w:szCs w:val="24"/>
        </w:rPr>
        <w:t xml:space="preserve"> by the RBI under a new Governor and simultaneous revival of the equity markets, there has been a drop in the debt restructuring by more than half in the first quarter of the current fiscal year</w:t>
      </w:r>
      <w:r>
        <w:rPr>
          <w:rFonts w:ascii="Times New Roman" w:hAnsi="Times New Roman" w:cs="Times New Roman"/>
          <w:sz w:val="24"/>
          <w:szCs w:val="24"/>
        </w:rPr>
        <w:t xml:space="preserve"> vis-a-vis the same period a year ago.</w:t>
      </w:r>
    </w:p>
    <w:p w:rsidR="00300B0C" w:rsidRPr="005F3303" w:rsidRDefault="004B1BED" w:rsidP="00A87168">
      <w:pPr>
        <w:spacing w:line="240" w:lineRule="auto"/>
        <w:jc w:val="both"/>
        <w:rPr>
          <w:rFonts w:ascii="Times New Roman" w:hAnsi="Times New Roman" w:cs="Times New Roman"/>
          <w:sz w:val="24"/>
          <w:szCs w:val="24"/>
        </w:rPr>
      </w:pPr>
    </w:p>
    <w:p w:rsidR="00C452D3" w:rsidRPr="00856E37" w:rsidRDefault="00BD2193" w:rsidP="00A87168">
      <w:pPr>
        <w:pStyle w:val="ListParagraph"/>
        <w:numPr>
          <w:ilvl w:val="0"/>
          <w:numId w:val="8"/>
        </w:numPr>
        <w:spacing w:line="240" w:lineRule="auto"/>
        <w:jc w:val="both"/>
        <w:rPr>
          <w:rStyle w:val="apple-converted-space"/>
        </w:rPr>
      </w:pPr>
      <w:r w:rsidRPr="00856E37">
        <w:rPr>
          <w:rStyle w:val="apple-converted-space"/>
          <w:rFonts w:ascii="Times New Roman" w:hAnsi="Times New Roman" w:cs="Times New Roman"/>
          <w:i/>
          <w:sz w:val="28"/>
          <w:szCs w:val="24"/>
          <w:shd w:val="clear" w:color="auto" w:fill="FFFFFF"/>
        </w:rPr>
        <w:t>Window of Opportunity</w:t>
      </w:r>
    </w:p>
    <w:p w:rsidR="00C7732C" w:rsidRPr="005F3303" w:rsidRDefault="00BD2193" w:rsidP="00A87168">
      <w:pPr>
        <w:pStyle w:val="NormalWeb"/>
        <w:shd w:val="clear" w:color="auto" w:fill="FFFFFF"/>
        <w:spacing w:before="0" w:beforeAutospacing="0" w:after="225" w:afterAutospacing="0"/>
        <w:jc w:val="both"/>
      </w:pPr>
      <w:r w:rsidRPr="005F3303">
        <w:lastRenderedPageBreak/>
        <w:t>Over the past one and a half decade</w:t>
      </w:r>
      <w:r>
        <w:t>s,</w:t>
      </w:r>
      <w:r w:rsidRPr="005F3303">
        <w:t xml:space="preserve"> debt restructuring in India has seen its fair share of success and failures. While the successful turnaround</w:t>
      </w:r>
      <w:r>
        <w:t>s</w:t>
      </w:r>
      <w:r w:rsidRPr="005F3303">
        <w:t xml:space="preserve"> of pharma</w:t>
      </w:r>
      <w:r>
        <w:t>-</w:t>
      </w:r>
      <w:r w:rsidRPr="005F3303">
        <w:t>gian</w:t>
      </w:r>
      <w:r>
        <w:t>t Wockhardt and oil &amp; gas major</w:t>
      </w:r>
      <w:r w:rsidRPr="005F3303">
        <w:t xml:space="preserve"> Essar Oil have been feathers in the cap of the CDR mechanism, the recent failures of shipbuilder Bharti Shipyard and hotelier Leela Ventures have cast a</w:t>
      </w:r>
      <w:r>
        <w:t xml:space="preserve"> dark</w:t>
      </w:r>
      <w:r w:rsidRPr="005F3303">
        <w:t xml:space="preserve"> shadow on its success story. </w:t>
      </w:r>
    </w:p>
    <w:p w:rsidR="006645A9" w:rsidRPr="005F3303" w:rsidRDefault="00BD2193" w:rsidP="00A87168">
      <w:pPr>
        <w:pStyle w:val="NormalWeb"/>
        <w:shd w:val="clear" w:color="auto" w:fill="FFFFFF"/>
        <w:spacing w:before="0" w:beforeAutospacing="0" w:after="225" w:afterAutospacing="0"/>
        <w:jc w:val="both"/>
      </w:pPr>
      <w:r w:rsidRPr="005F3303">
        <w:t xml:space="preserve">Whether the process of debt restructuring can save a company from being insolvent can be </w:t>
      </w:r>
      <w:r>
        <w:t>examined</w:t>
      </w:r>
      <w:r w:rsidRPr="005F3303">
        <w:t xml:space="preserve"> by </w:t>
      </w:r>
      <w:r>
        <w:t>understanding</w:t>
      </w:r>
      <w:r w:rsidRPr="005F3303">
        <w:t xml:space="preserve"> the inherent weakness and drawbacks of the process and the best possible ways to tide over the said drawbacks. The failure of </w:t>
      </w:r>
      <w:r>
        <w:t xml:space="preserve">these </w:t>
      </w:r>
      <w:r w:rsidRPr="005F3303">
        <w:t>cases being restructured has been due to various reasons.</w:t>
      </w:r>
    </w:p>
    <w:p w:rsidR="00C7325C" w:rsidRPr="00E97478" w:rsidRDefault="00BD2193" w:rsidP="00A87168">
      <w:pPr>
        <w:autoSpaceDE w:val="0"/>
        <w:autoSpaceDN w:val="0"/>
        <w:adjustRightInd w:val="0"/>
        <w:spacing w:after="0" w:line="240" w:lineRule="auto"/>
        <w:jc w:val="both"/>
        <w:rPr>
          <w:rFonts w:ascii="Times New Roman" w:hAnsi="Times New Roman" w:cs="Times New Roman"/>
          <w:sz w:val="24"/>
          <w:szCs w:val="24"/>
        </w:rPr>
      </w:pPr>
      <w:r w:rsidRPr="00E97478">
        <w:rPr>
          <w:rFonts w:ascii="Times New Roman" w:hAnsi="Times New Roman" w:cs="Times New Roman"/>
          <w:sz w:val="24"/>
          <w:szCs w:val="24"/>
        </w:rPr>
        <w:t xml:space="preserve">Despite </w:t>
      </w:r>
      <w:r>
        <w:rPr>
          <w:rFonts w:ascii="Times New Roman" w:hAnsi="Times New Roman" w:cs="Times New Roman"/>
          <w:sz w:val="24"/>
          <w:szCs w:val="24"/>
        </w:rPr>
        <w:t xml:space="preserve">the </w:t>
      </w:r>
      <w:r w:rsidRPr="00E97478">
        <w:rPr>
          <w:rFonts w:ascii="Times New Roman" w:hAnsi="Times New Roman" w:cs="Times New Roman"/>
          <w:sz w:val="24"/>
          <w:szCs w:val="24"/>
        </w:rPr>
        <w:t>existence of inter-creditor agreement</w:t>
      </w:r>
      <w:r>
        <w:rPr>
          <w:rFonts w:ascii="Times New Roman" w:hAnsi="Times New Roman" w:cs="Times New Roman"/>
          <w:sz w:val="24"/>
          <w:szCs w:val="24"/>
        </w:rPr>
        <w:t>s</w:t>
      </w:r>
      <w:r w:rsidRPr="00E97478">
        <w:rPr>
          <w:rFonts w:ascii="Times New Roman" w:hAnsi="Times New Roman" w:cs="Times New Roman"/>
          <w:sz w:val="24"/>
          <w:szCs w:val="24"/>
        </w:rPr>
        <w:t xml:space="preserve"> (ICA) between various lenders, restructuring remains </w:t>
      </w:r>
      <w:r>
        <w:rPr>
          <w:rFonts w:ascii="Times New Roman" w:hAnsi="Times New Roman" w:cs="Times New Roman"/>
          <w:sz w:val="24"/>
          <w:szCs w:val="24"/>
        </w:rPr>
        <w:t xml:space="preserve">legally </w:t>
      </w:r>
      <w:r w:rsidRPr="00E97478">
        <w:rPr>
          <w:rFonts w:ascii="Times New Roman" w:hAnsi="Times New Roman" w:cs="Times New Roman"/>
          <w:sz w:val="24"/>
          <w:szCs w:val="24"/>
        </w:rPr>
        <w:t xml:space="preserve">unenforceable as </w:t>
      </w:r>
      <w:r>
        <w:rPr>
          <w:rFonts w:ascii="Times New Roman" w:hAnsi="Times New Roman" w:cs="Times New Roman"/>
          <w:sz w:val="24"/>
          <w:szCs w:val="24"/>
        </w:rPr>
        <w:t xml:space="preserve">the </w:t>
      </w:r>
      <w:r w:rsidRPr="00E97478">
        <w:rPr>
          <w:rFonts w:ascii="Times New Roman" w:hAnsi="Times New Roman" w:cs="Times New Roman"/>
          <w:sz w:val="24"/>
          <w:szCs w:val="24"/>
        </w:rPr>
        <w:t xml:space="preserve">CDR mechanism is non-statutory in nature. Even when the requisite majority of creditors have agreed to implement a scheme, dissenting creditors sometimes have commenced legal proceedings against borrowers despite </w:t>
      </w:r>
      <w:r>
        <w:rPr>
          <w:rFonts w:ascii="Times New Roman" w:hAnsi="Times New Roman" w:cs="Times New Roman"/>
          <w:sz w:val="24"/>
          <w:szCs w:val="24"/>
        </w:rPr>
        <w:t>this</w:t>
      </w:r>
      <w:r w:rsidRPr="00E97478">
        <w:rPr>
          <w:rFonts w:ascii="Times New Roman" w:hAnsi="Times New Roman" w:cs="Times New Roman"/>
          <w:sz w:val="24"/>
          <w:szCs w:val="24"/>
        </w:rPr>
        <w:t xml:space="preserve"> being against the spirit of ICA.</w:t>
      </w:r>
    </w:p>
    <w:p w:rsidR="008472F2" w:rsidRPr="00E97478"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6645A9"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sidRPr="00E97478">
        <w:rPr>
          <w:rFonts w:ascii="Times New Roman" w:hAnsi="Times New Roman" w:cs="Times New Roman"/>
          <w:sz w:val="24"/>
          <w:szCs w:val="24"/>
        </w:rPr>
        <w:t>Despite the time limits being prescribed in the CDR mechanism, delay</w:t>
      </w:r>
      <w:r>
        <w:rPr>
          <w:rFonts w:ascii="Times New Roman" w:hAnsi="Times New Roman" w:cs="Times New Roman"/>
          <w:sz w:val="24"/>
          <w:szCs w:val="24"/>
        </w:rPr>
        <w:t>s</w:t>
      </w:r>
      <w:r w:rsidRPr="00E97478">
        <w:rPr>
          <w:rFonts w:ascii="Times New Roman" w:hAnsi="Times New Roman" w:cs="Times New Roman"/>
          <w:sz w:val="24"/>
          <w:szCs w:val="24"/>
        </w:rPr>
        <w:t xml:space="preserve"> by banks in getting approvals from their respective boards and reluctance by the private sector and foreign banks to join the mechanism derails the restructuring package. Further, as uncertainty and delays in approval of CDR proposals lead to deterioration in the asset classification, </w:t>
      </w:r>
      <w:r>
        <w:rPr>
          <w:rFonts w:ascii="Times New Roman" w:hAnsi="Times New Roman" w:cs="Times New Roman"/>
          <w:sz w:val="24"/>
          <w:szCs w:val="24"/>
        </w:rPr>
        <w:t xml:space="preserve">some </w:t>
      </w:r>
      <w:r w:rsidRPr="00E97478">
        <w:rPr>
          <w:rFonts w:ascii="Times New Roman" w:hAnsi="Times New Roman" w:cs="Times New Roman"/>
          <w:sz w:val="24"/>
          <w:szCs w:val="24"/>
        </w:rPr>
        <w:t>lenders may consider bowing out of the CDR process and proceed with recovery leading to liquidation of the Company.</w:t>
      </w:r>
      <w:r w:rsidRPr="005F3303">
        <w:rPr>
          <w:rFonts w:ascii="Times New Roman" w:hAnsi="Times New Roman" w:cs="Times New Roman"/>
          <w:sz w:val="24"/>
          <w:szCs w:val="24"/>
        </w:rPr>
        <w:t xml:space="preserve"> </w:t>
      </w:r>
    </w:p>
    <w:p w:rsidR="00234CB4" w:rsidRPr="005F330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0A389D"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sidRPr="005F3303">
        <w:rPr>
          <w:rFonts w:ascii="Times New Roman" w:hAnsi="Times New Roman" w:cs="Times New Roman"/>
          <w:sz w:val="24"/>
          <w:szCs w:val="24"/>
        </w:rPr>
        <w:t xml:space="preserve">Once a borrower is under stress, there is a perception that the CDR process is easily accessible. This is because there have been instances wherein the debt relief package has been approved without properly establishing the viability of the borrower. </w:t>
      </w:r>
      <w:r>
        <w:rPr>
          <w:rFonts w:ascii="Times New Roman" w:hAnsi="Times New Roman" w:cs="Times New Roman"/>
          <w:sz w:val="24"/>
          <w:szCs w:val="24"/>
        </w:rPr>
        <w:t>Any</w:t>
      </w:r>
      <w:r w:rsidRPr="005F3303">
        <w:rPr>
          <w:rFonts w:ascii="Times New Roman" w:hAnsi="Times New Roman" w:cs="Times New Roman"/>
          <w:sz w:val="24"/>
          <w:szCs w:val="24"/>
        </w:rPr>
        <w:t xml:space="preserve"> plan proposed by promoters in CDR without validation by techno-commercial industry experts is more than likely to fail, resulting in the borrowers’ inability to meet their restructured obligations to banks. Hence, a thorough assessment of the viability study by accredited industry experts should be relied upon for validation. </w:t>
      </w:r>
    </w:p>
    <w:p w:rsidR="000A389D" w:rsidRPr="005F330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DA435E"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sidRPr="005F3303">
        <w:rPr>
          <w:rFonts w:ascii="Times New Roman" w:hAnsi="Times New Roman" w:cs="Times New Roman"/>
          <w:sz w:val="24"/>
          <w:szCs w:val="24"/>
        </w:rPr>
        <w:t xml:space="preserve">Moreover, recent hikes in </w:t>
      </w:r>
      <w:r>
        <w:rPr>
          <w:rFonts w:ascii="Times New Roman" w:hAnsi="Times New Roman" w:cs="Times New Roman"/>
          <w:sz w:val="24"/>
          <w:szCs w:val="24"/>
        </w:rPr>
        <w:t xml:space="preserve">loss </w:t>
      </w:r>
      <w:r w:rsidRPr="005F3303">
        <w:rPr>
          <w:rFonts w:ascii="Times New Roman" w:hAnsi="Times New Roman" w:cs="Times New Roman"/>
          <w:sz w:val="24"/>
          <w:szCs w:val="24"/>
        </w:rPr>
        <w:t xml:space="preserve">provisioning requirements from 2.75% to 5% for restructured loans </w:t>
      </w:r>
      <w:r>
        <w:rPr>
          <w:rFonts w:ascii="Times New Roman" w:hAnsi="Times New Roman" w:cs="Times New Roman"/>
          <w:sz w:val="24"/>
          <w:szCs w:val="24"/>
        </w:rPr>
        <w:t>and which will increase to 15% from April 2015 onwards</w:t>
      </w:r>
      <w:r w:rsidRPr="005F3303">
        <w:rPr>
          <w:rFonts w:ascii="Times New Roman" w:hAnsi="Times New Roman" w:cs="Times New Roman"/>
          <w:sz w:val="24"/>
          <w:szCs w:val="24"/>
        </w:rPr>
        <w:t xml:space="preserve"> have drawn criticism from some banks, which say that restructured loans have almost been brought on </w:t>
      </w:r>
      <w:r>
        <w:rPr>
          <w:rFonts w:ascii="Times New Roman" w:hAnsi="Times New Roman" w:cs="Times New Roman"/>
          <w:sz w:val="24"/>
          <w:szCs w:val="24"/>
        </w:rPr>
        <w:t xml:space="preserve">a </w:t>
      </w:r>
      <w:r w:rsidRPr="005F3303">
        <w:rPr>
          <w:rFonts w:ascii="Times New Roman" w:hAnsi="Times New Roman" w:cs="Times New Roman"/>
          <w:sz w:val="24"/>
          <w:szCs w:val="24"/>
        </w:rPr>
        <w:t xml:space="preserve">par with bad loans. These policies could discourage lenders from </w:t>
      </w:r>
      <w:r>
        <w:rPr>
          <w:rFonts w:ascii="Times New Roman" w:hAnsi="Times New Roman" w:cs="Times New Roman"/>
          <w:sz w:val="24"/>
          <w:szCs w:val="24"/>
        </w:rPr>
        <w:t>resorting</w:t>
      </w:r>
      <w:r w:rsidRPr="005F3303">
        <w:rPr>
          <w:rFonts w:ascii="Times New Roman" w:hAnsi="Times New Roman" w:cs="Times New Roman"/>
          <w:sz w:val="24"/>
          <w:szCs w:val="24"/>
        </w:rPr>
        <w:t xml:space="preserve"> to restructuring</w:t>
      </w:r>
      <w:r>
        <w:rPr>
          <w:rFonts w:ascii="Times New Roman" w:hAnsi="Times New Roman" w:cs="Times New Roman"/>
          <w:sz w:val="24"/>
          <w:szCs w:val="24"/>
        </w:rPr>
        <w:t xml:space="preserve"> at all</w:t>
      </w:r>
      <w:r w:rsidRPr="005F3303">
        <w:rPr>
          <w:rFonts w:ascii="Times New Roman" w:hAnsi="Times New Roman" w:cs="Times New Roman"/>
          <w:sz w:val="24"/>
          <w:szCs w:val="24"/>
        </w:rPr>
        <w:t>. So, if the lenders are unwilling to restructure and the loan turns into an NPL, the RBI guidelines forbid the banks giv</w:t>
      </w:r>
      <w:r>
        <w:rPr>
          <w:rFonts w:ascii="Times New Roman" w:hAnsi="Times New Roman" w:cs="Times New Roman"/>
          <w:sz w:val="24"/>
          <w:szCs w:val="24"/>
        </w:rPr>
        <w:t>ing</w:t>
      </w:r>
      <w:r w:rsidRPr="005F3303">
        <w:rPr>
          <w:rFonts w:ascii="Times New Roman" w:hAnsi="Times New Roman" w:cs="Times New Roman"/>
          <w:sz w:val="24"/>
          <w:szCs w:val="24"/>
        </w:rPr>
        <w:t xml:space="preserve"> any additional monetary support to the borrower. Further, under the distress situation, finding an alternate source of funding is a big challenge in Indian markets presently which are, at present, devoid of major stressed</w:t>
      </w:r>
      <w:r>
        <w:rPr>
          <w:rFonts w:ascii="Times New Roman" w:hAnsi="Times New Roman" w:cs="Times New Roman"/>
          <w:sz w:val="24"/>
          <w:szCs w:val="24"/>
        </w:rPr>
        <w:t>-</w:t>
      </w:r>
      <w:r w:rsidRPr="005F3303">
        <w:rPr>
          <w:rFonts w:ascii="Times New Roman" w:hAnsi="Times New Roman" w:cs="Times New Roman"/>
          <w:sz w:val="24"/>
          <w:szCs w:val="24"/>
        </w:rPr>
        <w:t xml:space="preserve">asset funds. </w:t>
      </w:r>
    </w:p>
    <w:p w:rsidR="00DA435E" w:rsidRPr="005F3303"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BA54B9"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sidRPr="005F3303">
        <w:rPr>
          <w:rFonts w:ascii="Times New Roman" w:hAnsi="Times New Roman" w:cs="Times New Roman"/>
          <w:sz w:val="24"/>
          <w:szCs w:val="24"/>
        </w:rPr>
        <w:t xml:space="preserve">The current CDR guidelines require equity infusions and guarantees from the promoter, but often the same are not backed by adequate net worth of the promoters. Moreover, the mechanism does not have any legal enforceability to press the promoters to bring in their commitments or take legal action, in case of failure. The recent failure </w:t>
      </w:r>
      <w:r>
        <w:rPr>
          <w:rFonts w:ascii="Times New Roman" w:hAnsi="Times New Roman" w:cs="Times New Roman"/>
          <w:sz w:val="24"/>
          <w:szCs w:val="24"/>
        </w:rPr>
        <w:t xml:space="preserve">of the </w:t>
      </w:r>
      <w:r w:rsidRPr="005F3303">
        <w:rPr>
          <w:rFonts w:ascii="Times New Roman" w:hAnsi="Times New Roman" w:cs="Times New Roman"/>
          <w:sz w:val="24"/>
          <w:szCs w:val="24"/>
        </w:rPr>
        <w:t>debt restructuring package of a major shipbuilder in the country was due to the non-infusion of funds by the promoter. Thus, the debt restructuring mechanism should be granted a proper legal statu</w:t>
      </w:r>
      <w:r>
        <w:rPr>
          <w:rFonts w:ascii="Times New Roman" w:hAnsi="Times New Roman" w:cs="Times New Roman"/>
          <w:sz w:val="24"/>
          <w:szCs w:val="24"/>
        </w:rPr>
        <w:t>s</w:t>
      </w:r>
      <w:r w:rsidRPr="005F3303">
        <w:rPr>
          <w:rFonts w:ascii="Times New Roman" w:hAnsi="Times New Roman" w:cs="Times New Roman"/>
          <w:sz w:val="24"/>
          <w:szCs w:val="24"/>
        </w:rPr>
        <w:t xml:space="preserve"> so that it becomes binding in nature.</w:t>
      </w:r>
    </w:p>
    <w:p w:rsidR="00482D02" w:rsidRDefault="004B1BED" w:rsidP="00A87168">
      <w:pPr>
        <w:autoSpaceDE w:val="0"/>
        <w:autoSpaceDN w:val="0"/>
        <w:adjustRightInd w:val="0"/>
        <w:spacing w:after="0" w:line="240" w:lineRule="auto"/>
        <w:jc w:val="both"/>
        <w:rPr>
          <w:rFonts w:ascii="Times New Roman" w:hAnsi="Times New Roman" w:cs="Times New Roman"/>
          <w:sz w:val="24"/>
          <w:szCs w:val="24"/>
        </w:rPr>
      </w:pPr>
    </w:p>
    <w:p w:rsidR="00DA6098" w:rsidRPr="005F3303" w:rsidRDefault="00BD2193" w:rsidP="00A87168">
      <w:pPr>
        <w:autoSpaceDE w:val="0"/>
        <w:autoSpaceDN w:val="0"/>
        <w:adjustRightInd w:val="0"/>
        <w:spacing w:after="0" w:line="240" w:lineRule="auto"/>
        <w:jc w:val="both"/>
        <w:rPr>
          <w:rFonts w:ascii="Times New Roman" w:hAnsi="Times New Roman" w:cs="Times New Roman"/>
          <w:sz w:val="24"/>
          <w:szCs w:val="24"/>
        </w:rPr>
      </w:pPr>
      <w:r w:rsidRPr="005F3303">
        <w:rPr>
          <w:rFonts w:ascii="Times New Roman" w:hAnsi="Times New Roman" w:cs="Times New Roman"/>
          <w:sz w:val="24"/>
          <w:szCs w:val="24"/>
        </w:rPr>
        <w:t>The CDR process should include milestones designed to test th</w:t>
      </w:r>
      <w:r>
        <w:rPr>
          <w:rFonts w:ascii="Times New Roman" w:hAnsi="Times New Roman" w:cs="Times New Roman"/>
          <w:sz w:val="24"/>
          <w:szCs w:val="24"/>
        </w:rPr>
        <w:t xml:space="preserve">e success of the restructuring. </w:t>
      </w:r>
      <w:r w:rsidRPr="005F3303">
        <w:rPr>
          <w:rFonts w:ascii="Times New Roman" w:hAnsi="Times New Roman" w:cs="Times New Roman"/>
          <w:sz w:val="24"/>
          <w:szCs w:val="24"/>
        </w:rPr>
        <w:t xml:space="preserve">Some basic parameters and recovery milestones should be laid down (e.g., regularity in debt </w:t>
      </w:r>
      <w:r w:rsidRPr="005F3303">
        <w:rPr>
          <w:rFonts w:ascii="Times New Roman" w:hAnsi="Times New Roman" w:cs="Times New Roman"/>
          <w:sz w:val="24"/>
          <w:szCs w:val="24"/>
        </w:rPr>
        <w:lastRenderedPageBreak/>
        <w:t xml:space="preserve">servicing, cash flow targets to be imposed, sale of noncore assets, etc.) as part of the CDR package. If the milestones are not met, it </w:t>
      </w:r>
      <w:r>
        <w:rPr>
          <w:rFonts w:ascii="Times New Roman" w:hAnsi="Times New Roman" w:cs="Times New Roman"/>
          <w:sz w:val="24"/>
          <w:szCs w:val="24"/>
        </w:rPr>
        <w:t>sh</w:t>
      </w:r>
      <w:r w:rsidRPr="005F3303">
        <w:rPr>
          <w:rFonts w:ascii="Times New Roman" w:hAnsi="Times New Roman" w:cs="Times New Roman"/>
          <w:sz w:val="24"/>
          <w:szCs w:val="24"/>
        </w:rPr>
        <w:t>ould lead to accelerated provisioning requirements for banks.</w:t>
      </w:r>
      <w:r>
        <w:rPr>
          <w:rFonts w:ascii="Times New Roman" w:hAnsi="Times New Roman" w:cs="Times New Roman"/>
          <w:sz w:val="24"/>
          <w:szCs w:val="24"/>
        </w:rPr>
        <w:t xml:space="preserve"> Further severe financial sanctions should be placed on the borrower in case it is unable to meet the milestones (other than for reasons beyond it’s control). </w:t>
      </w:r>
      <w:r w:rsidRPr="005F3303">
        <w:rPr>
          <w:rFonts w:ascii="Times New Roman" w:hAnsi="Times New Roman" w:cs="Times New Roman"/>
          <w:sz w:val="24"/>
          <w:szCs w:val="24"/>
        </w:rPr>
        <w:t>Testing of such milestones c</w:t>
      </w:r>
      <w:r>
        <w:rPr>
          <w:rFonts w:ascii="Times New Roman" w:hAnsi="Times New Roman" w:cs="Times New Roman"/>
          <w:sz w:val="24"/>
          <w:szCs w:val="24"/>
        </w:rPr>
        <w:t>ould</w:t>
      </w:r>
      <w:r w:rsidRPr="005F3303">
        <w:rPr>
          <w:rFonts w:ascii="Times New Roman" w:hAnsi="Times New Roman" w:cs="Times New Roman"/>
          <w:sz w:val="24"/>
          <w:szCs w:val="24"/>
        </w:rPr>
        <w:t xml:space="preserve"> be outsourced to a panel of approved independent agencies.</w:t>
      </w:r>
    </w:p>
    <w:p w:rsidR="00573163" w:rsidRPr="005F3303" w:rsidRDefault="004B1BED" w:rsidP="00A87168">
      <w:pPr>
        <w:pStyle w:val="NormalWeb"/>
        <w:shd w:val="clear" w:color="auto" w:fill="FFFFFF"/>
        <w:spacing w:before="0" w:beforeAutospacing="0" w:after="225" w:afterAutospacing="0"/>
        <w:jc w:val="both"/>
      </w:pPr>
    </w:p>
    <w:p w:rsidR="002A162A" w:rsidRPr="00CB686F" w:rsidRDefault="00BD2193" w:rsidP="00A87168">
      <w:pPr>
        <w:spacing w:line="240" w:lineRule="auto"/>
        <w:jc w:val="both"/>
        <w:rPr>
          <w:rFonts w:ascii="Times New Roman" w:hAnsi="Times New Roman" w:cs="Times New Roman"/>
          <w:b/>
          <w:i/>
          <w:sz w:val="28"/>
          <w:szCs w:val="24"/>
        </w:rPr>
      </w:pPr>
      <w:r w:rsidRPr="00CB686F">
        <w:rPr>
          <w:rFonts w:ascii="Times New Roman" w:hAnsi="Times New Roman" w:cs="Times New Roman"/>
          <w:b/>
          <w:i/>
          <w:sz w:val="28"/>
          <w:szCs w:val="24"/>
        </w:rPr>
        <w:t>Conclusion</w:t>
      </w:r>
    </w:p>
    <w:p w:rsidR="00C309BF" w:rsidRPr="005F3303" w:rsidRDefault="00BD2193" w:rsidP="00085AEB">
      <w:pPr>
        <w:pStyle w:val="NormalWeb"/>
        <w:shd w:val="clear" w:color="auto" w:fill="FFFFFF"/>
        <w:spacing w:before="0" w:beforeAutospacing="0" w:after="0" w:afterAutospacing="0"/>
        <w:jc w:val="both"/>
        <w:rPr>
          <w:shd w:val="clear" w:color="auto" w:fill="FFFFFF"/>
        </w:rPr>
      </w:pPr>
      <w:r w:rsidRPr="00CB686F">
        <w:t>The recent failures of debt restructuring in certain cases does not</w:t>
      </w:r>
      <w:r w:rsidRPr="00CB686F">
        <w:rPr>
          <w:rStyle w:val="apple-converted-space"/>
        </w:rPr>
        <w:t> </w:t>
      </w:r>
      <w:hyperlink r:id="rId9" w:history="1">
        <w:r w:rsidRPr="00CB686F">
          <w:rPr>
            <w:rStyle w:val="Hyperlink"/>
            <w:color w:val="auto"/>
            <w:u w:val="none"/>
            <w:bdr w:val="none" w:sz="0" w:space="0" w:color="auto" w:frame="1"/>
          </w:rPr>
          <w:t>mean</w:t>
        </w:r>
      </w:hyperlink>
      <w:r w:rsidRPr="00CB686F">
        <w:rPr>
          <w:rStyle w:val="apple-converted-space"/>
        </w:rPr>
        <w:t> </w:t>
      </w:r>
      <w:r w:rsidRPr="00CB686F">
        <w:t xml:space="preserve">the mechanism has lost its purpose. Debt restructuring over the years has played a significant role for both the borrowers and the lenders in times of financial crisis and economic downturn. What is required is a revamp of the debt restructuring mechanism in light of present macro and micro conditions and the lessons learned over past so many years. </w:t>
      </w:r>
      <w:r w:rsidRPr="00CB686F">
        <w:rPr>
          <w:shd w:val="clear" w:color="auto" w:fill="FFFFFF"/>
        </w:rPr>
        <w:t>To conclude</w:t>
      </w:r>
      <w:r>
        <w:rPr>
          <w:shd w:val="clear" w:color="auto" w:fill="FFFFFF"/>
        </w:rPr>
        <w:t>,</w:t>
      </w:r>
      <w:r w:rsidRPr="00CB686F">
        <w:rPr>
          <w:shd w:val="clear" w:color="auto" w:fill="FFFFFF"/>
        </w:rPr>
        <w:t xml:space="preserve"> one can safely state that financials market worldwide will definitely be prone to business cycles as well as sudden economic aberrations and it is next to impossible to come up with a policy which can predict ways of preventing the unpredict</w:t>
      </w:r>
      <w:r>
        <w:rPr>
          <w:shd w:val="clear" w:color="auto" w:fill="FFFFFF"/>
        </w:rPr>
        <w:t>able</w:t>
      </w:r>
      <w:r w:rsidRPr="00CB686F">
        <w:rPr>
          <w:shd w:val="clear" w:color="auto" w:fill="FFFFFF"/>
        </w:rPr>
        <w:t xml:space="preserve">. </w:t>
      </w:r>
      <w:r>
        <w:rPr>
          <w:shd w:val="clear" w:color="auto" w:fill="FFFFFF"/>
        </w:rPr>
        <w:t>In those circumstances,</w:t>
      </w:r>
      <w:r w:rsidRPr="00CB686F">
        <w:rPr>
          <w:shd w:val="clear" w:color="auto" w:fill="FFFFFF"/>
        </w:rPr>
        <w:t xml:space="preserve"> mechanisms like CDR could </w:t>
      </w:r>
      <w:r>
        <w:rPr>
          <w:shd w:val="clear" w:color="auto" w:fill="FFFFFF"/>
        </w:rPr>
        <w:t>be</w:t>
      </w:r>
      <w:r w:rsidRPr="00CB686F">
        <w:rPr>
          <w:shd w:val="clear" w:color="auto" w:fill="FFFFFF"/>
        </w:rPr>
        <w:t xml:space="preserve">come a saviour for both the investors and the entrepreneurs. Even though laced with </w:t>
      </w:r>
      <w:r>
        <w:rPr>
          <w:shd w:val="clear" w:color="auto" w:fill="FFFFFF"/>
        </w:rPr>
        <w:t xml:space="preserve">a </w:t>
      </w:r>
      <w:r w:rsidRPr="00CB686F">
        <w:rPr>
          <w:shd w:val="clear" w:color="auto" w:fill="FFFFFF"/>
        </w:rPr>
        <w:t>few short</w:t>
      </w:r>
      <w:r>
        <w:rPr>
          <w:shd w:val="clear" w:color="auto" w:fill="FFFFFF"/>
        </w:rPr>
        <w:t>-</w:t>
      </w:r>
      <w:r w:rsidRPr="00CB686F">
        <w:rPr>
          <w:shd w:val="clear" w:color="auto" w:fill="FFFFFF"/>
        </w:rPr>
        <w:t xml:space="preserve">comings, the CDR mechanism in India can go a long way in </w:t>
      </w:r>
      <w:r>
        <w:rPr>
          <w:shd w:val="clear" w:color="auto" w:fill="FFFFFF"/>
        </w:rPr>
        <w:t>restoring</w:t>
      </w:r>
      <w:r w:rsidRPr="00CB686F">
        <w:rPr>
          <w:shd w:val="clear" w:color="auto" w:fill="FFFFFF"/>
        </w:rPr>
        <w:t xml:space="preserve"> the creditors</w:t>
      </w:r>
      <w:r>
        <w:rPr>
          <w:shd w:val="clear" w:color="auto" w:fill="FFFFFF"/>
        </w:rPr>
        <w:t>’</w:t>
      </w:r>
      <w:r w:rsidRPr="00CB686F">
        <w:rPr>
          <w:shd w:val="clear" w:color="auto" w:fill="FFFFFF"/>
        </w:rPr>
        <w:t xml:space="preserve"> as well as the investors’ faith in the market</w:t>
      </w:r>
      <w:r>
        <w:rPr>
          <w:shd w:val="clear" w:color="auto" w:fill="FFFFFF"/>
        </w:rPr>
        <w:t>,</w:t>
      </w:r>
      <w:r w:rsidRPr="00CB686F">
        <w:rPr>
          <w:shd w:val="clear" w:color="auto" w:fill="FFFFFF"/>
        </w:rPr>
        <w:t xml:space="preserve"> even in the times of economic gloom. </w:t>
      </w:r>
      <w:r>
        <w:rPr>
          <w:shd w:val="clear" w:color="auto" w:fill="FFFFFF"/>
        </w:rPr>
        <w:t xml:space="preserve">If implemented in true spirits, </w:t>
      </w:r>
      <w:r w:rsidRPr="00CB686F">
        <w:rPr>
          <w:shd w:val="clear" w:color="auto" w:fill="FFFFFF"/>
        </w:rPr>
        <w:t>it gives the entity fac</w:t>
      </w:r>
      <w:r>
        <w:rPr>
          <w:shd w:val="clear" w:color="auto" w:fill="FFFFFF"/>
        </w:rPr>
        <w:t>ing</w:t>
      </w:r>
      <w:r w:rsidRPr="00CB686F">
        <w:rPr>
          <w:shd w:val="clear" w:color="auto" w:fill="FFFFFF"/>
        </w:rPr>
        <w:t xml:space="preserve"> financial pressure a chance of recovery and </w:t>
      </w:r>
      <w:r>
        <w:rPr>
          <w:shd w:val="clear" w:color="auto" w:fill="FFFFFF"/>
        </w:rPr>
        <w:t xml:space="preserve">the ability to </w:t>
      </w:r>
      <w:r w:rsidRPr="00CB686F">
        <w:rPr>
          <w:shd w:val="clear" w:color="auto" w:fill="FFFFFF"/>
        </w:rPr>
        <w:t>get back in the business</w:t>
      </w:r>
      <w:r>
        <w:rPr>
          <w:shd w:val="clear" w:color="auto" w:fill="FFFFFF"/>
        </w:rPr>
        <w:t>,</w:t>
      </w:r>
      <w:r w:rsidRPr="00CB686F">
        <w:rPr>
          <w:shd w:val="clear" w:color="auto" w:fill="FFFFFF"/>
        </w:rPr>
        <w:t xml:space="preserve"> besides bring it back from becoming insolvent.</w:t>
      </w:r>
    </w:p>
    <w:p w:rsidR="008330CA" w:rsidRDefault="004B1BED" w:rsidP="00A87168">
      <w:pPr>
        <w:spacing w:line="240" w:lineRule="auto"/>
        <w:jc w:val="both"/>
        <w:rPr>
          <w:rFonts w:ascii="Times New Roman" w:hAnsi="Times New Roman" w:cs="Times New Roman"/>
          <w:b/>
          <w:sz w:val="24"/>
          <w:szCs w:val="24"/>
          <w:u w:val="single"/>
        </w:rPr>
      </w:pPr>
    </w:p>
    <w:p w:rsidR="00A55D7C" w:rsidRDefault="004B1BED" w:rsidP="00A87168">
      <w:pPr>
        <w:spacing w:line="240" w:lineRule="auto"/>
        <w:jc w:val="both"/>
        <w:rPr>
          <w:rFonts w:ascii="Times New Roman" w:hAnsi="Times New Roman" w:cs="Times New Roman"/>
          <w:b/>
          <w:i/>
          <w:sz w:val="24"/>
          <w:szCs w:val="24"/>
        </w:rPr>
      </w:pPr>
    </w:p>
    <w:p w:rsidR="00A55D7C" w:rsidRDefault="004B1BED" w:rsidP="00A87168">
      <w:pPr>
        <w:spacing w:line="240" w:lineRule="auto"/>
        <w:jc w:val="both"/>
        <w:rPr>
          <w:rFonts w:ascii="Times New Roman" w:hAnsi="Times New Roman" w:cs="Times New Roman"/>
          <w:b/>
          <w:i/>
          <w:sz w:val="24"/>
          <w:szCs w:val="24"/>
        </w:rPr>
      </w:pPr>
    </w:p>
    <w:p w:rsidR="00A55D7C" w:rsidRDefault="004B1BED" w:rsidP="00A87168">
      <w:pPr>
        <w:spacing w:line="240" w:lineRule="auto"/>
        <w:jc w:val="both"/>
        <w:rPr>
          <w:rFonts w:ascii="Times New Roman" w:hAnsi="Times New Roman" w:cs="Times New Roman"/>
          <w:b/>
          <w:i/>
          <w:sz w:val="24"/>
          <w:szCs w:val="24"/>
        </w:rPr>
      </w:pPr>
    </w:p>
    <w:p w:rsidR="00C309BF" w:rsidRPr="00A55D7C" w:rsidRDefault="00BD2193" w:rsidP="00A87168">
      <w:pPr>
        <w:spacing w:line="240" w:lineRule="auto"/>
        <w:jc w:val="both"/>
        <w:rPr>
          <w:rFonts w:ascii="Times New Roman" w:hAnsi="Times New Roman" w:cs="Times New Roman"/>
          <w:b/>
          <w:i/>
          <w:sz w:val="24"/>
          <w:szCs w:val="24"/>
        </w:rPr>
      </w:pPr>
      <w:r w:rsidRPr="00A55D7C">
        <w:rPr>
          <w:rFonts w:ascii="Times New Roman" w:hAnsi="Times New Roman" w:cs="Times New Roman"/>
          <w:b/>
          <w:i/>
          <w:sz w:val="24"/>
          <w:szCs w:val="24"/>
        </w:rPr>
        <w:t>References</w:t>
      </w:r>
    </w:p>
    <w:p w:rsidR="009474EF" w:rsidRPr="00A55D7C" w:rsidRDefault="00BD2193" w:rsidP="00A87168">
      <w:pPr>
        <w:pStyle w:val="ListParagraph"/>
        <w:numPr>
          <w:ilvl w:val="0"/>
          <w:numId w:val="7"/>
        </w:numPr>
        <w:spacing w:line="240" w:lineRule="auto"/>
        <w:rPr>
          <w:rFonts w:ascii="Times New Roman" w:hAnsi="Times New Roman" w:cs="Times New Roman"/>
          <w:i/>
          <w:sz w:val="20"/>
          <w:szCs w:val="24"/>
        </w:rPr>
      </w:pPr>
      <w:r w:rsidRPr="00A55D7C">
        <w:rPr>
          <w:rFonts w:ascii="Times New Roman" w:hAnsi="Times New Roman" w:cs="Times New Roman"/>
          <w:i/>
          <w:sz w:val="20"/>
          <w:szCs w:val="24"/>
        </w:rPr>
        <w:t>IMF World Economic and Financial Surveys :  Asia &amp; Pacific, Regional Economic Outlook, April 2014</w:t>
      </w:r>
    </w:p>
    <w:p w:rsidR="00DA435E" w:rsidRPr="00A55D7C" w:rsidRDefault="00BD2193" w:rsidP="00A87168">
      <w:pPr>
        <w:pStyle w:val="ListParagraph"/>
        <w:numPr>
          <w:ilvl w:val="0"/>
          <w:numId w:val="7"/>
        </w:numPr>
        <w:spacing w:line="240" w:lineRule="auto"/>
        <w:rPr>
          <w:rFonts w:ascii="Times New Roman" w:hAnsi="Times New Roman" w:cs="Times New Roman"/>
          <w:i/>
          <w:sz w:val="20"/>
          <w:szCs w:val="24"/>
        </w:rPr>
      </w:pPr>
      <w:r w:rsidRPr="00A55D7C">
        <w:rPr>
          <w:rFonts w:ascii="Times New Roman" w:hAnsi="Times New Roman" w:cs="Times New Roman"/>
          <w:i/>
          <w:sz w:val="20"/>
          <w:szCs w:val="24"/>
        </w:rPr>
        <w:t>Chakrabarty, K.C. Deputy Governor, Reserve Bank of India ,“Corporate Debt Restructuring- Issues and Way Forward” at the Corporate Debt Restructuring Conference y, , Mumbai, dt 11 August 2012.</w:t>
      </w:r>
    </w:p>
    <w:p w:rsidR="00887DBE" w:rsidRPr="00A55D7C" w:rsidRDefault="00BD2193" w:rsidP="00A87168">
      <w:pPr>
        <w:pStyle w:val="ListParagraph"/>
        <w:numPr>
          <w:ilvl w:val="0"/>
          <w:numId w:val="7"/>
        </w:numPr>
        <w:spacing w:line="240" w:lineRule="auto"/>
        <w:rPr>
          <w:rFonts w:ascii="Times New Roman" w:hAnsi="Times New Roman" w:cs="Times New Roman"/>
          <w:i/>
          <w:sz w:val="20"/>
          <w:szCs w:val="24"/>
        </w:rPr>
      </w:pPr>
      <w:r w:rsidRPr="00A55D7C">
        <w:rPr>
          <w:rFonts w:ascii="Times New Roman" w:hAnsi="Times New Roman" w:cs="Times New Roman"/>
          <w:i/>
          <w:sz w:val="20"/>
          <w:szCs w:val="24"/>
        </w:rPr>
        <w:t>Reserve Bank of India “ Master Circular - Prudential norms on Income Recognition, Asset Classification and Provisioning pertaining to Advances” DBOD.No.BP.BC.9/21.04.048/2014-15</w:t>
      </w:r>
    </w:p>
    <w:p w:rsidR="00DA435E" w:rsidRPr="00A55D7C" w:rsidRDefault="00BD2193" w:rsidP="00A87168">
      <w:pPr>
        <w:pStyle w:val="ListParagraph"/>
        <w:numPr>
          <w:ilvl w:val="0"/>
          <w:numId w:val="7"/>
        </w:numPr>
        <w:spacing w:line="240" w:lineRule="auto"/>
        <w:rPr>
          <w:rFonts w:ascii="Times New Roman" w:hAnsi="Times New Roman" w:cs="Times New Roman"/>
          <w:i/>
          <w:sz w:val="20"/>
          <w:szCs w:val="24"/>
        </w:rPr>
      </w:pPr>
      <w:r w:rsidRPr="00A55D7C">
        <w:rPr>
          <w:rFonts w:ascii="Times New Roman" w:hAnsi="Times New Roman" w:cs="Times New Roman"/>
          <w:i/>
          <w:sz w:val="20"/>
          <w:szCs w:val="24"/>
        </w:rPr>
        <w:t>Thomas Laryea, “Approaches to Corporate Debt Restructuring in the Wake of Financial Crises”, IMF Staff Position Note, SPN 10/02, dated 26 January 2010.</w:t>
      </w:r>
    </w:p>
    <w:p w:rsidR="00DA435E" w:rsidRPr="00A55D7C" w:rsidRDefault="00BD2193" w:rsidP="00A87168">
      <w:pPr>
        <w:pStyle w:val="ListParagraph"/>
        <w:numPr>
          <w:ilvl w:val="0"/>
          <w:numId w:val="7"/>
        </w:numPr>
        <w:shd w:val="clear" w:color="auto" w:fill="FFFFFF" w:themeFill="background1"/>
        <w:spacing w:line="240" w:lineRule="auto"/>
        <w:rPr>
          <w:rFonts w:ascii="Times New Roman" w:hAnsi="Times New Roman" w:cs="Times New Roman"/>
          <w:i/>
          <w:sz w:val="20"/>
          <w:szCs w:val="24"/>
        </w:rPr>
      </w:pPr>
      <w:r w:rsidRPr="00A55D7C">
        <w:rPr>
          <w:rFonts w:ascii="Times New Roman" w:hAnsi="Times New Roman" w:cs="Times New Roman"/>
          <w:i/>
          <w:sz w:val="20"/>
          <w:szCs w:val="24"/>
        </w:rPr>
        <w:t xml:space="preserve">“CDR cases involving Rs14,000 crore in end in failure” </w:t>
      </w:r>
      <w:r w:rsidRPr="00A55D7C">
        <w:rPr>
          <w:rFonts w:ascii="Times New Roman" w:hAnsi="Times New Roman" w:cs="Times New Roman"/>
          <w:i/>
          <w:sz w:val="20"/>
          <w:szCs w:val="24"/>
        </w:rPr>
        <w:br/>
      </w:r>
      <w:r w:rsidRPr="00A55D7C">
        <w:rPr>
          <w:rFonts w:ascii="Times New Roman" w:hAnsi="Times New Roman" w:cs="Times New Roman"/>
          <w:i/>
          <w:sz w:val="18"/>
        </w:rPr>
        <w:t> </w:t>
      </w:r>
      <w:hyperlink r:id="rId10" w:history="1">
        <w:r w:rsidRPr="00A55D7C">
          <w:rPr>
            <w:rFonts w:ascii="Times New Roman" w:hAnsi="Times New Roman" w:cs="Times New Roman"/>
            <w:i/>
            <w:sz w:val="18"/>
          </w:rPr>
          <w:t>http://www.livemint.com/Industry/Fnbc7jjgEQrnC4Zs5FIFLK/Rs14000-crore-in-CDR-cases-end-in-failure.html?utm_source=copy</w:t>
        </w:r>
      </w:hyperlink>
    </w:p>
    <w:p w:rsidR="008472F2" w:rsidRPr="00A55D7C" w:rsidRDefault="00BD2193" w:rsidP="00A87168">
      <w:pPr>
        <w:pStyle w:val="ListParagraph"/>
        <w:numPr>
          <w:ilvl w:val="0"/>
          <w:numId w:val="7"/>
        </w:numPr>
        <w:spacing w:line="240" w:lineRule="auto"/>
        <w:rPr>
          <w:rFonts w:ascii="Times New Roman" w:hAnsi="Times New Roman" w:cs="Times New Roman"/>
          <w:i/>
          <w:sz w:val="20"/>
          <w:szCs w:val="24"/>
        </w:rPr>
      </w:pPr>
      <w:r w:rsidRPr="00A55D7C">
        <w:rPr>
          <w:rFonts w:ascii="Times New Roman" w:hAnsi="Times New Roman" w:cs="Times New Roman"/>
          <w:i/>
          <w:sz w:val="20"/>
          <w:szCs w:val="24"/>
        </w:rPr>
        <w:t>Reserve Bank of India, “Report of the Working Group to Review the existing prudential guidelines on restructuring of advances by banks/financial institutions”, dated 18 July 2012</w:t>
      </w:r>
    </w:p>
    <w:p w:rsidR="008472F2" w:rsidRPr="00A55D7C" w:rsidRDefault="00BD2193" w:rsidP="00A87168">
      <w:pPr>
        <w:pStyle w:val="ListParagraph"/>
        <w:numPr>
          <w:ilvl w:val="0"/>
          <w:numId w:val="7"/>
        </w:numPr>
        <w:autoSpaceDE w:val="0"/>
        <w:autoSpaceDN w:val="0"/>
        <w:adjustRightInd w:val="0"/>
        <w:spacing w:after="0" w:line="240" w:lineRule="auto"/>
        <w:rPr>
          <w:rFonts w:ascii="Times New Roman" w:hAnsi="Times New Roman" w:cs="Times New Roman"/>
          <w:i/>
          <w:iCs/>
          <w:sz w:val="20"/>
          <w:szCs w:val="24"/>
        </w:rPr>
      </w:pPr>
      <w:r w:rsidRPr="00A55D7C">
        <w:rPr>
          <w:rFonts w:ascii="Times New Roman" w:hAnsi="Times New Roman" w:cs="Times New Roman"/>
          <w:i/>
          <w:sz w:val="20"/>
          <w:szCs w:val="24"/>
        </w:rPr>
        <w:t xml:space="preserve">Annex </w:t>
      </w:r>
      <w:r w:rsidRPr="00A55D7C">
        <w:rPr>
          <w:rFonts w:ascii="Times New Roman" w:hAnsi="Times New Roman" w:cs="Times New Roman"/>
          <w:i/>
          <w:iCs/>
          <w:sz w:val="20"/>
          <w:szCs w:val="24"/>
        </w:rPr>
        <w:t>Revised Guidelines on Corporate Debt Restructuring, bi.org.in/upload/notification/pdfs/67158</w:t>
      </w:r>
    </w:p>
    <w:p w:rsidR="008472F2" w:rsidRPr="00A55D7C" w:rsidRDefault="00BD2193" w:rsidP="00A87168">
      <w:pPr>
        <w:pStyle w:val="ListParagraph"/>
        <w:numPr>
          <w:ilvl w:val="0"/>
          <w:numId w:val="7"/>
        </w:numPr>
        <w:autoSpaceDE w:val="0"/>
        <w:autoSpaceDN w:val="0"/>
        <w:adjustRightInd w:val="0"/>
        <w:spacing w:after="0" w:line="240" w:lineRule="auto"/>
        <w:rPr>
          <w:rStyle w:val="Hyperlink"/>
        </w:rPr>
      </w:pPr>
      <w:r w:rsidRPr="00A55D7C">
        <w:rPr>
          <w:rFonts w:ascii="Times New Roman" w:hAnsi="Times New Roman" w:cs="Times New Roman"/>
          <w:i/>
          <w:sz w:val="20"/>
          <w:szCs w:val="24"/>
        </w:rPr>
        <w:t xml:space="preserve">Outlook India - “India Inc’s Maha Kumbh”- </w:t>
      </w:r>
      <w:hyperlink r:id="rId11" w:history="1">
        <w:r w:rsidRPr="00A55D7C">
          <w:rPr>
            <w:rStyle w:val="Hyperlink"/>
            <w:rFonts w:ascii="Times New Roman" w:hAnsi="Times New Roman" w:cs="Times New Roman"/>
            <w:i/>
            <w:color w:val="auto"/>
            <w:sz w:val="20"/>
            <w:szCs w:val="24"/>
            <w:u w:val="none"/>
          </w:rPr>
          <w:t>http://www.outlookbusiness.com/article_v3.aspx?artid=283951</w:t>
        </w:r>
      </w:hyperlink>
    </w:p>
    <w:p w:rsidR="00C54801" w:rsidRPr="00A55D7C" w:rsidRDefault="00BD2193" w:rsidP="00C54801">
      <w:pPr>
        <w:pStyle w:val="ListParagraph"/>
        <w:numPr>
          <w:ilvl w:val="0"/>
          <w:numId w:val="7"/>
        </w:numPr>
        <w:autoSpaceDE w:val="0"/>
        <w:autoSpaceDN w:val="0"/>
        <w:adjustRightInd w:val="0"/>
        <w:spacing w:after="0" w:line="240" w:lineRule="auto"/>
        <w:rPr>
          <w:rFonts w:ascii="Times New Roman" w:hAnsi="Times New Roman" w:cs="Times New Roman"/>
          <w:bCs/>
          <w:i/>
          <w:sz w:val="20"/>
          <w:szCs w:val="24"/>
          <w:shd w:val="clear" w:color="auto" w:fill="FFFFFF"/>
        </w:rPr>
      </w:pPr>
      <w:r w:rsidRPr="00A55D7C">
        <w:rPr>
          <w:rFonts w:ascii="Times New Roman" w:hAnsi="Times New Roman" w:cs="Times New Roman"/>
          <w:bCs/>
          <w:i/>
          <w:sz w:val="20"/>
          <w:szCs w:val="24"/>
          <w:shd w:val="clear" w:color="auto" w:fill="FFFFFF"/>
        </w:rPr>
        <w:t>Indian Law Journal – “Evaluating the success of debt restructuring options”</w:t>
      </w:r>
    </w:p>
    <w:p w:rsidR="00A943CE" w:rsidRPr="00A55D7C" w:rsidRDefault="00BD2193" w:rsidP="00A87168">
      <w:pPr>
        <w:pStyle w:val="ListParagraph"/>
        <w:numPr>
          <w:ilvl w:val="0"/>
          <w:numId w:val="7"/>
        </w:numPr>
        <w:autoSpaceDE w:val="0"/>
        <w:autoSpaceDN w:val="0"/>
        <w:adjustRightInd w:val="0"/>
        <w:spacing w:after="0" w:line="240" w:lineRule="auto"/>
        <w:rPr>
          <w:rStyle w:val="Hyperlink"/>
        </w:rPr>
      </w:pPr>
      <w:r w:rsidRPr="00A55D7C">
        <w:rPr>
          <w:rFonts w:ascii="Times New Roman" w:hAnsi="Times New Roman" w:cs="Times New Roman"/>
          <w:i/>
          <w:iCs/>
          <w:sz w:val="20"/>
          <w:szCs w:val="24"/>
        </w:rPr>
        <w:t xml:space="preserve">RBI </w:t>
      </w:r>
      <w:r w:rsidRPr="00A55D7C">
        <w:rPr>
          <w:rStyle w:val="Hyperlink"/>
          <w:rFonts w:ascii="Times New Roman" w:hAnsi="Times New Roman" w:cs="Times New Roman"/>
          <w:i/>
          <w:color w:val="auto"/>
          <w:sz w:val="20"/>
          <w:szCs w:val="24"/>
          <w:u w:val="none"/>
        </w:rPr>
        <w:t>Database of Indian Economy, December 2013</w:t>
      </w:r>
    </w:p>
    <w:p w:rsidR="007F291D" w:rsidRPr="00A55D7C" w:rsidRDefault="004B1BED" w:rsidP="007F291D">
      <w:pPr>
        <w:pStyle w:val="ListParagraph"/>
        <w:numPr>
          <w:ilvl w:val="0"/>
          <w:numId w:val="7"/>
        </w:numPr>
        <w:autoSpaceDE w:val="0"/>
        <w:autoSpaceDN w:val="0"/>
        <w:adjustRightInd w:val="0"/>
        <w:spacing w:after="0" w:line="240" w:lineRule="auto"/>
        <w:rPr>
          <w:rStyle w:val="Hyperlink"/>
        </w:rPr>
      </w:pPr>
      <w:hyperlink r:id="rId12" w:history="1">
        <w:r w:rsidR="00BD2193" w:rsidRPr="00A55D7C">
          <w:rPr>
            <w:rStyle w:val="Hyperlink"/>
            <w:rFonts w:ascii="Times New Roman" w:hAnsi="Times New Roman" w:cs="Times New Roman"/>
            <w:i/>
            <w:color w:val="auto"/>
            <w:sz w:val="20"/>
            <w:szCs w:val="24"/>
            <w:u w:val="none"/>
          </w:rPr>
          <w:t>http://articles.economictimes.indiatimes.com/2014-04-04/news/48866941_1_cdr-mechanism-cdr-cell-aggregate-debt</w:t>
        </w:r>
      </w:hyperlink>
    </w:p>
    <w:p w:rsidR="00881199" w:rsidRPr="00A55D7C" w:rsidRDefault="00BD2193" w:rsidP="007F291D">
      <w:pPr>
        <w:pStyle w:val="ListParagraph"/>
        <w:numPr>
          <w:ilvl w:val="0"/>
          <w:numId w:val="7"/>
        </w:numPr>
        <w:autoSpaceDE w:val="0"/>
        <w:autoSpaceDN w:val="0"/>
        <w:adjustRightInd w:val="0"/>
        <w:spacing w:after="0" w:line="240" w:lineRule="auto"/>
        <w:rPr>
          <w:rFonts w:ascii="Times New Roman" w:hAnsi="Times New Roman" w:cs="Times New Roman"/>
          <w:i/>
          <w:sz w:val="20"/>
          <w:szCs w:val="24"/>
        </w:rPr>
      </w:pPr>
      <w:r w:rsidRPr="00A55D7C">
        <w:rPr>
          <w:rStyle w:val="Hyperlink"/>
          <w:rFonts w:ascii="Times New Roman" w:hAnsi="Times New Roman" w:cs="Times New Roman"/>
          <w:i/>
          <w:color w:val="auto"/>
          <w:sz w:val="20"/>
          <w:szCs w:val="24"/>
          <w:u w:val="none"/>
        </w:rPr>
        <w:t>RBI – “</w:t>
      </w:r>
      <w:r w:rsidRPr="00A55D7C">
        <w:rPr>
          <w:rFonts w:ascii="Times New Roman" w:hAnsi="Times New Roman" w:cs="Times New Roman"/>
          <w:bCs/>
          <w:i/>
          <w:sz w:val="20"/>
          <w:szCs w:val="24"/>
          <w:shd w:val="clear" w:color="auto" w:fill="FFFFFF"/>
        </w:rPr>
        <w:t>Working Group to review the existing prudential guidelines on</w:t>
      </w:r>
      <w:r w:rsidRPr="00A55D7C">
        <w:rPr>
          <w:rFonts w:ascii="Times New Roman" w:hAnsi="Times New Roman" w:cs="Times New Roman"/>
          <w:bCs/>
          <w:i/>
          <w:sz w:val="20"/>
          <w:szCs w:val="24"/>
          <w:shd w:val="clear" w:color="auto" w:fill="FFFFFF"/>
        </w:rPr>
        <w:br/>
        <w:t>restructuring of advances by banks/financial institutions</w:t>
      </w:r>
    </w:p>
    <w:sectPr w:rsidR="00881199" w:rsidRPr="00A55D7C" w:rsidSect="00AC4A22">
      <w:footerReference w:type="default" r:id="rId13"/>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BED" w:rsidRDefault="004B1BED" w:rsidP="003A6634">
      <w:pPr>
        <w:spacing w:after="0" w:line="240" w:lineRule="auto"/>
      </w:pPr>
      <w:r>
        <w:separator/>
      </w:r>
    </w:p>
  </w:endnote>
  <w:endnote w:type="continuationSeparator" w:id="0">
    <w:p w:rsidR="004B1BED" w:rsidRDefault="004B1BED" w:rsidP="003A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421991"/>
      <w:docPartObj>
        <w:docPartGallery w:val="Page Numbers (Bottom of Page)"/>
        <w:docPartUnique/>
      </w:docPartObj>
    </w:sdtPr>
    <w:sdtEndPr>
      <w:rPr>
        <w:noProof/>
      </w:rPr>
    </w:sdtEndPr>
    <w:sdtContent>
      <w:p w:rsidR="00482D02" w:rsidRDefault="004B1BED">
        <w:pPr>
          <w:pStyle w:val="Footer"/>
          <w:jc w:val="right"/>
        </w:pPr>
        <w:r>
          <w:fldChar w:fldCharType="begin"/>
        </w:r>
        <w:r>
          <w:instrText xml:space="preserve"> PAGE   \* MERGEFORMAT </w:instrText>
        </w:r>
        <w:r>
          <w:fldChar w:fldCharType="separate"/>
        </w:r>
        <w:r w:rsidR="00957B96">
          <w:rPr>
            <w:noProof/>
          </w:rPr>
          <w:t>1</w:t>
        </w:r>
        <w:r>
          <w:rPr>
            <w:noProof/>
          </w:rPr>
          <w:fldChar w:fldCharType="end"/>
        </w:r>
      </w:p>
    </w:sdtContent>
  </w:sdt>
  <w:p w:rsidR="00482D02" w:rsidRDefault="004B1B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BED" w:rsidRDefault="004B1BED" w:rsidP="003A6634">
      <w:pPr>
        <w:spacing w:after="0" w:line="240" w:lineRule="auto"/>
      </w:pPr>
      <w:r>
        <w:separator/>
      </w:r>
    </w:p>
  </w:footnote>
  <w:footnote w:type="continuationSeparator" w:id="0">
    <w:p w:rsidR="004B1BED" w:rsidRDefault="004B1BED" w:rsidP="003A66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D3B14"/>
    <w:multiLevelType w:val="hybridMultilevel"/>
    <w:tmpl w:val="1B480B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2FF0056"/>
    <w:multiLevelType w:val="hybridMultilevel"/>
    <w:tmpl w:val="A5043B6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B096361"/>
    <w:multiLevelType w:val="hybridMultilevel"/>
    <w:tmpl w:val="919A4548"/>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3">
    <w:nsid w:val="50D37A5D"/>
    <w:multiLevelType w:val="hybridMultilevel"/>
    <w:tmpl w:val="D2D6DE6A"/>
    <w:lvl w:ilvl="0" w:tplc="D1867D6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5556171C"/>
    <w:multiLevelType w:val="hybridMultilevel"/>
    <w:tmpl w:val="1150661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5A571F4"/>
    <w:multiLevelType w:val="hybridMultilevel"/>
    <w:tmpl w:val="AF365C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0F31B95"/>
    <w:multiLevelType w:val="hybridMultilevel"/>
    <w:tmpl w:val="05A04A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51C2C56"/>
    <w:multiLevelType w:val="hybridMultilevel"/>
    <w:tmpl w:val="A5043B6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E997B2F"/>
    <w:multiLevelType w:val="hybridMultilevel"/>
    <w:tmpl w:val="16AC0878"/>
    <w:lvl w:ilvl="0" w:tplc="40090011">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8"/>
  </w:num>
  <w:num w:numId="2">
    <w:abstractNumId w:val="3"/>
  </w:num>
  <w:num w:numId="3">
    <w:abstractNumId w:val="1"/>
  </w:num>
  <w:num w:numId="4">
    <w:abstractNumId w:val="7"/>
  </w:num>
  <w:num w:numId="5">
    <w:abstractNumId w:val="2"/>
  </w:num>
  <w:num w:numId="6">
    <w:abstractNumId w:val="6"/>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D16"/>
    <w:rsid w:val="004B1BED"/>
    <w:rsid w:val="00741D16"/>
    <w:rsid w:val="00957B96"/>
    <w:rsid w:val="00BD219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164AE8-B412-4513-B753-1B8E478C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066420"/>
    <w:pPr>
      <w:keepNext/>
      <w:suppressAutoHyphens/>
      <w:overflowPunct w:val="0"/>
      <w:autoSpaceDE w:val="0"/>
      <w:autoSpaceDN w:val="0"/>
      <w:adjustRightInd w:val="0"/>
      <w:spacing w:after="0" w:line="240" w:lineRule="auto"/>
      <w:jc w:val="center"/>
      <w:outlineLvl w:val="1"/>
    </w:pPr>
    <w:rPr>
      <w:rFonts w:ascii="CG Omega" w:eastAsia="Times New Roman" w:hAnsi="CG Omega"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6514"/>
  </w:style>
  <w:style w:type="paragraph" w:styleId="ListParagraph">
    <w:name w:val="List Paragraph"/>
    <w:basedOn w:val="Normal"/>
    <w:uiPriority w:val="34"/>
    <w:qFormat/>
    <w:rsid w:val="00C452D3"/>
    <w:pPr>
      <w:ind w:left="720"/>
      <w:contextualSpacing/>
    </w:pPr>
  </w:style>
  <w:style w:type="paragraph" w:styleId="NormalWeb">
    <w:name w:val="Normal (Web)"/>
    <w:basedOn w:val="Normal"/>
    <w:uiPriority w:val="99"/>
    <w:unhideWhenUsed/>
    <w:rsid w:val="0057316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73163"/>
    <w:rPr>
      <w:color w:val="0000FF"/>
      <w:u w:val="single"/>
    </w:rPr>
  </w:style>
  <w:style w:type="character" w:customStyle="1" w:styleId="Heading2Char">
    <w:name w:val="Heading 2 Char"/>
    <w:basedOn w:val="DefaultParagraphFont"/>
    <w:link w:val="Heading2"/>
    <w:rsid w:val="00066420"/>
    <w:rPr>
      <w:rFonts w:ascii="CG Omega" w:eastAsia="Times New Roman" w:hAnsi="CG Omega" w:cs="Times New Roman"/>
      <w:b/>
      <w:sz w:val="24"/>
      <w:szCs w:val="20"/>
      <w:lang w:val="en-US"/>
    </w:rPr>
  </w:style>
  <w:style w:type="paragraph" w:styleId="Header">
    <w:name w:val="header"/>
    <w:basedOn w:val="Normal"/>
    <w:link w:val="HeaderChar"/>
    <w:unhideWhenUsed/>
    <w:rsid w:val="00066420"/>
    <w:pPr>
      <w:tabs>
        <w:tab w:val="center" w:pos="2160"/>
        <w:tab w:val="right" w:pos="6480"/>
      </w:tabs>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066420"/>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E93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78B"/>
    <w:rPr>
      <w:rFonts w:ascii="Tahoma" w:hAnsi="Tahoma" w:cs="Tahoma"/>
      <w:sz w:val="16"/>
      <w:szCs w:val="16"/>
    </w:rPr>
  </w:style>
  <w:style w:type="paragraph" w:styleId="FootnoteText">
    <w:name w:val="footnote text"/>
    <w:basedOn w:val="Normal"/>
    <w:link w:val="FootnoteTextChar"/>
    <w:uiPriority w:val="99"/>
    <w:semiHidden/>
    <w:unhideWhenUsed/>
    <w:rsid w:val="003A66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6634"/>
    <w:rPr>
      <w:sz w:val="20"/>
      <w:szCs w:val="20"/>
    </w:rPr>
  </w:style>
  <w:style w:type="character" w:styleId="FootnoteReference">
    <w:name w:val="footnote reference"/>
    <w:basedOn w:val="DefaultParagraphFont"/>
    <w:uiPriority w:val="99"/>
    <w:semiHidden/>
    <w:unhideWhenUsed/>
    <w:rsid w:val="003A6634"/>
    <w:rPr>
      <w:vertAlign w:val="superscript"/>
    </w:rPr>
  </w:style>
  <w:style w:type="paragraph" w:styleId="EndnoteText">
    <w:name w:val="endnote text"/>
    <w:basedOn w:val="Normal"/>
    <w:link w:val="EndnoteTextChar"/>
    <w:uiPriority w:val="99"/>
    <w:semiHidden/>
    <w:unhideWhenUsed/>
    <w:rsid w:val="003475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7510"/>
    <w:rPr>
      <w:sz w:val="20"/>
      <w:szCs w:val="20"/>
    </w:rPr>
  </w:style>
  <w:style w:type="character" w:styleId="EndnoteReference">
    <w:name w:val="endnote reference"/>
    <w:basedOn w:val="DefaultParagraphFont"/>
    <w:uiPriority w:val="99"/>
    <w:semiHidden/>
    <w:unhideWhenUsed/>
    <w:rsid w:val="00347510"/>
    <w:rPr>
      <w:vertAlign w:val="superscript"/>
    </w:rPr>
  </w:style>
  <w:style w:type="paragraph" w:styleId="Title">
    <w:name w:val="Title"/>
    <w:basedOn w:val="Normal"/>
    <w:next w:val="Normal"/>
    <w:link w:val="TitleChar"/>
    <w:uiPriority w:val="10"/>
    <w:qFormat/>
    <w:rsid w:val="00217FF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217FF5"/>
    <w:rPr>
      <w:rFonts w:asciiTheme="majorHAnsi" w:eastAsiaTheme="majorEastAsia" w:hAnsiTheme="majorHAnsi" w:cstheme="majorBidi"/>
      <w:color w:val="000000" w:themeColor="text1"/>
      <w:spacing w:val="5"/>
      <w:kern w:val="28"/>
      <w:sz w:val="52"/>
      <w:szCs w:val="52"/>
    </w:rPr>
  </w:style>
  <w:style w:type="paragraph" w:styleId="Footer">
    <w:name w:val="footer"/>
    <w:basedOn w:val="Normal"/>
    <w:link w:val="FooterChar"/>
    <w:uiPriority w:val="99"/>
    <w:unhideWhenUsed/>
    <w:rsid w:val="00AC4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A22"/>
  </w:style>
  <w:style w:type="paragraph" w:customStyle="1" w:styleId="Default">
    <w:name w:val="Default"/>
    <w:rsid w:val="00887DB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102854">
      <w:bodyDiv w:val="1"/>
      <w:marLeft w:val="0"/>
      <w:marRight w:val="0"/>
      <w:marTop w:val="0"/>
      <w:marBottom w:val="0"/>
      <w:divBdr>
        <w:top w:val="none" w:sz="0" w:space="0" w:color="auto"/>
        <w:left w:val="none" w:sz="0" w:space="0" w:color="auto"/>
        <w:bottom w:val="none" w:sz="0" w:space="0" w:color="auto"/>
        <w:right w:val="none" w:sz="0" w:space="0" w:color="auto"/>
      </w:divBdr>
    </w:div>
    <w:div w:id="300036329">
      <w:bodyDiv w:val="1"/>
      <w:marLeft w:val="0"/>
      <w:marRight w:val="0"/>
      <w:marTop w:val="0"/>
      <w:marBottom w:val="0"/>
      <w:divBdr>
        <w:top w:val="none" w:sz="0" w:space="0" w:color="auto"/>
        <w:left w:val="none" w:sz="0" w:space="0" w:color="auto"/>
        <w:bottom w:val="none" w:sz="0" w:space="0" w:color="auto"/>
        <w:right w:val="none" w:sz="0" w:space="0" w:color="auto"/>
      </w:divBdr>
    </w:div>
    <w:div w:id="777678051">
      <w:bodyDiv w:val="1"/>
      <w:marLeft w:val="0"/>
      <w:marRight w:val="0"/>
      <w:marTop w:val="0"/>
      <w:marBottom w:val="0"/>
      <w:divBdr>
        <w:top w:val="none" w:sz="0" w:space="0" w:color="auto"/>
        <w:left w:val="none" w:sz="0" w:space="0" w:color="auto"/>
        <w:bottom w:val="none" w:sz="0" w:space="0" w:color="auto"/>
        <w:right w:val="none" w:sz="0" w:space="0" w:color="auto"/>
      </w:divBdr>
    </w:div>
    <w:div w:id="204428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articles.economictimes.indiatimes.com/2014-04-04/news/48866941_1_cdr-mechanism-cdr-cell-aggregate-deb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utlookbusiness.com/article_v3.aspx?artid=28395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vemint.com/Industry/Fnbc7jjgEQrnC4Zs5FIFLK/Rs14000-crore-in-CDR-cases-end-in-failure.html?utm_source=ref_article" TargetMode="External"/><Relationship Id="rId4" Type="http://schemas.openxmlformats.org/officeDocument/2006/relationships/webSettings" Target="webSettings.xml"/><Relationship Id="rId9" Type="http://schemas.openxmlformats.org/officeDocument/2006/relationships/hyperlink" Target="http://economictimes.indiatimes.com/topic/mean"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nant.khandelwal\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7"/>
    </mc:Choice>
    <mc:Fallback>
      <c:style val="17"/>
    </mc:Fallback>
  </mc:AlternateContent>
  <c:chart>
    <c:autoTitleDeleted val="0"/>
    <c:plotArea>
      <c:layout>
        <c:manualLayout>
          <c:layoutTarget val="inner"/>
          <c:xMode val="edge"/>
          <c:yMode val="edge"/>
          <c:x val="2.14044815415135E-2"/>
          <c:y val="3.1038908863597801E-2"/>
          <c:w val="0.91254107125498196"/>
          <c:h val="0.83065600656081995"/>
        </c:manualLayout>
      </c:layout>
      <c:barChart>
        <c:barDir val="col"/>
        <c:grouping val="stacked"/>
        <c:varyColors val="0"/>
        <c:ser>
          <c:idx val="0"/>
          <c:order val="0"/>
          <c:tx>
            <c:strRef>
              <c:f>Sheet1!$B$1</c:f>
              <c:strCache>
                <c:ptCount val="1"/>
                <c:pt idx="0">
                  <c:v>Cases Referred</c:v>
                </c:pt>
              </c:strCache>
            </c:strRef>
          </c:tx>
          <c:invertIfNegative val="0"/>
          <c:dLbls>
            <c:spPr>
              <a:noFill/>
              <a:ln>
                <a:noFill/>
              </a:ln>
              <a:effectLst/>
            </c:spPr>
            <c:txPr>
              <a:bodyPr/>
              <a:lstStyle/>
              <a:p>
                <a:pPr>
                  <a:defRPr lang="en-IN" sz="800" baseline="0">
                    <a:solidFill>
                      <a:schemeClr val="bg1"/>
                    </a:solidFill>
                    <a:latin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3"/>
                <c:pt idx="0">
                  <c:v>FY 02</c:v>
                </c:pt>
                <c:pt idx="1">
                  <c:v>FY 03</c:v>
                </c:pt>
                <c:pt idx="2">
                  <c:v>FY 04</c:v>
                </c:pt>
                <c:pt idx="3">
                  <c:v>FY 05</c:v>
                </c:pt>
                <c:pt idx="4">
                  <c:v>FY 06</c:v>
                </c:pt>
                <c:pt idx="5">
                  <c:v>FY 07</c:v>
                </c:pt>
                <c:pt idx="6">
                  <c:v>FY 08</c:v>
                </c:pt>
                <c:pt idx="7">
                  <c:v>FY 09</c:v>
                </c:pt>
                <c:pt idx="8">
                  <c:v>FY 10</c:v>
                </c:pt>
                <c:pt idx="9">
                  <c:v>FY 11</c:v>
                </c:pt>
                <c:pt idx="10">
                  <c:v>FY 12</c:v>
                </c:pt>
                <c:pt idx="11">
                  <c:v>FY 13</c:v>
                </c:pt>
                <c:pt idx="12">
                  <c:v>FY 14</c:v>
                </c:pt>
              </c:strCache>
            </c:strRef>
          </c:cat>
          <c:val>
            <c:numRef>
              <c:f>Sheet1!$B$2:$B$14</c:f>
              <c:numCache>
                <c:formatCode>General</c:formatCode>
                <c:ptCount val="13"/>
                <c:pt idx="0">
                  <c:v>8</c:v>
                </c:pt>
                <c:pt idx="1">
                  <c:v>33</c:v>
                </c:pt>
                <c:pt idx="2">
                  <c:v>55</c:v>
                </c:pt>
                <c:pt idx="3">
                  <c:v>32</c:v>
                </c:pt>
                <c:pt idx="4">
                  <c:v>18</c:v>
                </c:pt>
                <c:pt idx="5">
                  <c:v>6</c:v>
                </c:pt>
                <c:pt idx="6">
                  <c:v>10</c:v>
                </c:pt>
                <c:pt idx="7">
                  <c:v>29</c:v>
                </c:pt>
                <c:pt idx="8">
                  <c:v>21</c:v>
                </c:pt>
                <c:pt idx="9">
                  <c:v>27</c:v>
                </c:pt>
                <c:pt idx="10">
                  <c:v>50</c:v>
                </c:pt>
                <c:pt idx="11">
                  <c:v>109</c:v>
                </c:pt>
                <c:pt idx="12">
                  <c:v>75</c:v>
                </c:pt>
              </c:numCache>
            </c:numRef>
          </c:val>
        </c:ser>
        <c:ser>
          <c:idx val="1"/>
          <c:order val="1"/>
          <c:tx>
            <c:strRef>
              <c:f>Sheet1!$C$1</c:f>
              <c:strCache>
                <c:ptCount val="1"/>
                <c:pt idx="0">
                  <c:v>Cases Approved</c:v>
                </c:pt>
              </c:strCache>
            </c:strRef>
          </c:tx>
          <c:invertIfNegative val="0"/>
          <c:dLbls>
            <c:dLbl>
              <c:idx val="0"/>
              <c:tx>
                <c:rich>
                  <a:bodyPr/>
                  <a:lstStyle/>
                  <a:p>
                    <a:r>
                      <a:rPr lang="en-US" sz="800" baseline="0" smtClean="0">
                        <a:solidFill>
                          <a:srgbClr val="FF0000"/>
                        </a:solidFill>
                        <a:latin typeface="Times New Roman" pitchFamily="18" charset="0"/>
                      </a:rPr>
                      <a:t>11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800" baseline="0" smtClean="0">
                        <a:solidFill>
                          <a:srgbClr val="FF0000"/>
                        </a:solidFill>
                        <a:latin typeface="Times New Roman" pitchFamily="18" charset="0"/>
                      </a:rPr>
                      <a:t>43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800" baseline="0" smtClean="0">
                        <a:solidFill>
                          <a:srgbClr val="FF0000"/>
                        </a:solidFill>
                        <a:latin typeface="Times New Roman" pitchFamily="18" charset="0"/>
                      </a:rPr>
                      <a:t>65</a:t>
                    </a:r>
                    <a:endParaRPr lang="en-US" dirty="0"/>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800" baseline="0" smtClean="0">
                        <a:solidFill>
                          <a:srgbClr val="FF0000"/>
                        </a:solidFill>
                        <a:latin typeface="Times New Roman" pitchFamily="18" charset="0"/>
                      </a:rPr>
                      <a:t>36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1.54320987654321E-3"/>
                  <c:y val="-1.4024194864899401E-2"/>
                </c:manualLayout>
              </c:layout>
              <c:tx>
                <c:rich>
                  <a:bodyPr/>
                  <a:lstStyle/>
                  <a:p>
                    <a:r>
                      <a:rPr lang="en-US" sz="800" baseline="0" smtClean="0">
                        <a:solidFill>
                          <a:srgbClr val="FF0000"/>
                        </a:solidFill>
                        <a:latin typeface="Times New Roman" pitchFamily="18" charset="0"/>
                      </a:rPr>
                      <a:t>19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layout>
                <c:manualLayout>
                  <c:x val="0"/>
                  <c:y val="-2.7131782945736399E-2"/>
                </c:manualLayout>
              </c:layout>
              <c:tx>
                <c:rich>
                  <a:bodyPr/>
                  <a:lstStyle/>
                  <a:p>
                    <a:r>
                      <a:rPr lang="en-US" sz="800" baseline="0" smtClean="0">
                        <a:solidFill>
                          <a:srgbClr val="FF0000"/>
                        </a:solidFill>
                        <a:latin typeface="Times New Roman" pitchFamily="18" charset="0"/>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layout>
                <c:manualLayout>
                  <c:x val="-1.5432098765431499E-3"/>
                  <c:y val="-1.4024194864899401E-2"/>
                </c:manualLayout>
              </c:layout>
              <c:tx>
                <c:rich>
                  <a:bodyPr/>
                  <a:lstStyle/>
                  <a:p>
                    <a:r>
                      <a:rPr lang="en-US" sz="800" baseline="0" smtClean="0">
                        <a:solidFill>
                          <a:srgbClr val="FF0000"/>
                        </a:solidFill>
                        <a:latin typeface="Times New Roman" pitchFamily="18" charset="0"/>
                      </a:rPr>
                      <a:t>11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800" baseline="0" smtClean="0">
                        <a:solidFill>
                          <a:srgbClr val="FF0000"/>
                        </a:solidFill>
                        <a:latin typeface="Times New Roman" pitchFamily="18" charset="0"/>
                      </a:rPr>
                      <a:t>34</a:t>
                    </a:r>
                    <a:endParaRPr lang="en-US" dirty="0"/>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sz="800" baseline="0" smtClean="0">
                        <a:solidFill>
                          <a:srgbClr val="FF0000"/>
                        </a:solidFill>
                        <a:latin typeface="Times New Roman" pitchFamily="18" charset="0"/>
                      </a:rPr>
                      <a:t>31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sz="800" baseline="0" smtClean="0">
                        <a:solidFill>
                          <a:srgbClr val="FF0000"/>
                        </a:solidFill>
                        <a:latin typeface="Times New Roman" pitchFamily="18" charset="0"/>
                      </a:rPr>
                      <a:t>49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tx>
                <c:rich>
                  <a:bodyPr/>
                  <a:lstStyle/>
                  <a:p>
                    <a:r>
                      <a:rPr lang="en-US" sz="800" baseline="0" smtClean="0">
                        <a:solidFill>
                          <a:srgbClr val="FF0000"/>
                        </a:solidFill>
                        <a:latin typeface="Times New Roman" pitchFamily="18" charset="0"/>
                      </a:rPr>
                      <a:t>87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1"/>
              <c:tx>
                <c:rich>
                  <a:bodyPr/>
                  <a:lstStyle/>
                  <a:p>
                    <a:r>
                      <a:rPr lang="en-US" sz="800" baseline="0" smtClean="0">
                        <a:solidFill>
                          <a:srgbClr val="FF0000"/>
                        </a:solidFill>
                        <a:latin typeface="Times New Roman" pitchFamily="18" charset="0"/>
                      </a:rPr>
                      <a:t>129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2"/>
              <c:tx>
                <c:rich>
                  <a:bodyPr/>
                  <a:lstStyle/>
                  <a:p>
                    <a:r>
                      <a:rPr lang="en-US" sz="800" baseline="0" smtClean="0">
                        <a:solidFill>
                          <a:srgbClr val="FF0000"/>
                        </a:solidFill>
                        <a:latin typeface="Times New Roman" pitchFamily="18" charset="0"/>
                      </a:rPr>
                      <a:t>101</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n-IN" sz="800" baseline="0">
                    <a:solidFill>
                      <a:srgbClr val="FF0000"/>
                    </a:solidFill>
                    <a:latin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3"/>
                <c:pt idx="0">
                  <c:v>FY 02</c:v>
                </c:pt>
                <c:pt idx="1">
                  <c:v>FY 03</c:v>
                </c:pt>
                <c:pt idx="2">
                  <c:v>FY 04</c:v>
                </c:pt>
                <c:pt idx="3">
                  <c:v>FY 05</c:v>
                </c:pt>
                <c:pt idx="4">
                  <c:v>FY 06</c:v>
                </c:pt>
                <c:pt idx="5">
                  <c:v>FY 07</c:v>
                </c:pt>
                <c:pt idx="6">
                  <c:v>FY 08</c:v>
                </c:pt>
                <c:pt idx="7">
                  <c:v>FY 09</c:v>
                </c:pt>
                <c:pt idx="8">
                  <c:v>FY 10</c:v>
                </c:pt>
                <c:pt idx="9">
                  <c:v>FY 11</c:v>
                </c:pt>
                <c:pt idx="10">
                  <c:v>FY 12</c:v>
                </c:pt>
                <c:pt idx="11">
                  <c:v>FY 13</c:v>
                </c:pt>
                <c:pt idx="12">
                  <c:v>FY 14</c:v>
                </c:pt>
              </c:strCache>
            </c:strRef>
          </c:cat>
          <c:val>
            <c:numRef>
              <c:f>Sheet1!$C$2:$C$14</c:f>
              <c:numCache>
                <c:formatCode>General</c:formatCode>
                <c:ptCount val="13"/>
                <c:pt idx="0">
                  <c:v>3</c:v>
                </c:pt>
                <c:pt idx="1">
                  <c:v>10</c:v>
                </c:pt>
                <c:pt idx="2">
                  <c:v>10</c:v>
                </c:pt>
                <c:pt idx="3">
                  <c:v>4</c:v>
                </c:pt>
                <c:pt idx="4">
                  <c:v>1</c:v>
                </c:pt>
                <c:pt idx="5">
                  <c:v>1</c:v>
                </c:pt>
                <c:pt idx="6">
                  <c:v>1</c:v>
                </c:pt>
                <c:pt idx="7">
                  <c:v>5</c:v>
                </c:pt>
                <c:pt idx="8">
                  <c:v>10</c:v>
                </c:pt>
                <c:pt idx="9">
                  <c:v>22</c:v>
                </c:pt>
                <c:pt idx="10">
                  <c:v>37</c:v>
                </c:pt>
                <c:pt idx="11">
                  <c:v>20</c:v>
                </c:pt>
                <c:pt idx="12">
                  <c:v>26</c:v>
                </c:pt>
              </c:numCache>
            </c:numRef>
          </c:val>
        </c:ser>
        <c:dLbls>
          <c:showLegendKey val="0"/>
          <c:showVal val="0"/>
          <c:showCatName val="0"/>
          <c:showSerName val="0"/>
          <c:showPercent val="0"/>
          <c:showBubbleSize val="0"/>
        </c:dLbls>
        <c:gapWidth val="150"/>
        <c:overlap val="100"/>
        <c:axId val="411337640"/>
        <c:axId val="411334896"/>
      </c:barChart>
      <c:catAx>
        <c:axId val="411337640"/>
        <c:scaling>
          <c:orientation val="minMax"/>
        </c:scaling>
        <c:delete val="0"/>
        <c:axPos val="b"/>
        <c:numFmt formatCode="General" sourceLinked="0"/>
        <c:majorTickMark val="out"/>
        <c:minorTickMark val="none"/>
        <c:tickLblPos val="nextTo"/>
        <c:txPr>
          <a:bodyPr/>
          <a:lstStyle/>
          <a:p>
            <a:pPr>
              <a:defRPr lang="en-IN" sz="900" baseline="0">
                <a:latin typeface="Times New Roman" pitchFamily="18" charset="0"/>
              </a:defRPr>
            </a:pPr>
            <a:endParaRPr lang="en-US"/>
          </a:p>
        </c:txPr>
        <c:crossAx val="411334896"/>
        <c:crosses val="autoZero"/>
        <c:auto val="1"/>
        <c:lblAlgn val="ctr"/>
        <c:lblOffset val="100"/>
        <c:noMultiLvlLbl val="0"/>
      </c:catAx>
      <c:valAx>
        <c:axId val="411334896"/>
        <c:scaling>
          <c:orientation val="minMax"/>
        </c:scaling>
        <c:delete val="1"/>
        <c:axPos val="l"/>
        <c:numFmt formatCode="General" sourceLinked="1"/>
        <c:majorTickMark val="out"/>
        <c:minorTickMark val="none"/>
        <c:tickLblPos val="nextTo"/>
        <c:crossAx val="411337640"/>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Sheet3!$C$2</c:f>
              <c:strCache>
                <c:ptCount val="1"/>
                <c:pt idx="0">
                  <c:v>Aggregate Debt</c:v>
                </c:pt>
              </c:strCache>
            </c:strRef>
          </c:tx>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Sheet3!$B$3:$B$9</c:f>
              <c:strCache>
                <c:ptCount val="7"/>
                <c:pt idx="0">
                  <c:v>Infrastructure </c:v>
                </c:pt>
                <c:pt idx="1">
                  <c:v>Iron &amp; Steel </c:v>
                </c:pt>
                <c:pt idx="2">
                  <c:v>Textiles </c:v>
                </c:pt>
                <c:pt idx="3">
                  <c:v>Power</c:v>
                </c:pt>
                <c:pt idx="4">
                  <c:v>Telecom </c:v>
                </c:pt>
                <c:pt idx="5">
                  <c:v>Construction </c:v>
                </c:pt>
                <c:pt idx="6">
                  <c:v>Others</c:v>
                </c:pt>
              </c:strCache>
            </c:strRef>
          </c:cat>
          <c:val>
            <c:numRef>
              <c:f>Sheet3!$C$3:$C$9</c:f>
              <c:numCache>
                <c:formatCode>_(* #,##0.00_);_(* \(#,##0.00\);_(* "-"??_);_(@_)</c:formatCode>
                <c:ptCount val="7"/>
                <c:pt idx="0">
                  <c:v>10.406000000000001</c:v>
                </c:pt>
                <c:pt idx="1">
                  <c:v>7.9161818181818173</c:v>
                </c:pt>
                <c:pt idx="2">
                  <c:v>3.661454545454546</c:v>
                </c:pt>
                <c:pt idx="3">
                  <c:v>3.4796363636363639</c:v>
                </c:pt>
                <c:pt idx="4">
                  <c:v>1.9609090909090909</c:v>
                </c:pt>
                <c:pt idx="5">
                  <c:v>1.7249090909090909</c:v>
                </c:pt>
                <c:pt idx="6">
                  <c:v>14.894909090909101</c:v>
                </c:pt>
              </c:numCache>
            </c:numRef>
          </c:val>
        </c:ser>
        <c:dLbls>
          <c:showLegendKey val="0"/>
          <c:showVal val="0"/>
          <c:showCatName val="1"/>
          <c:showSerName val="0"/>
          <c:showPercent val="1"/>
          <c:showBubbleSize val="0"/>
          <c:showLeaderLines val="0"/>
        </c:dLbls>
        <c:firstSliceAng val="0"/>
      </c:pieChart>
    </c:plotArea>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0.01343</cdr:x>
      <cdr:y>0.80754</cdr:y>
    </cdr:from>
    <cdr:to>
      <cdr:x>0.04028</cdr:x>
      <cdr:y>0.80886</cdr:y>
    </cdr:to>
    <cdr:cxnSp macro="">
      <cdr:nvCxnSpPr>
        <cdr:cNvPr id="11" name="Straight Arrow Connector 10"/>
        <cdr:cNvCxnSpPr/>
      </cdr:nvCxnSpPr>
      <cdr:spPr>
        <a:xfrm xmlns:a="http://schemas.openxmlformats.org/drawingml/2006/main">
          <a:off x="76954" y="2783941"/>
          <a:ext cx="153909" cy="4526"/>
        </a:xfrm>
        <a:prstGeom xmlns:a="http://schemas.openxmlformats.org/drawingml/2006/main" prst="straightConnector1">
          <a:avLst/>
        </a:prstGeom>
        <a:ln xmlns:a="http://schemas.openxmlformats.org/drawingml/2006/main">
          <a:solidFill>
            <a:srgbClr val="FF0000"/>
          </a:solidFill>
          <a:tailEnd type="arrow"/>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0.01356</cdr:x>
      <cdr:y>0.24153</cdr:y>
    </cdr:from>
    <cdr:to>
      <cdr:x>0.01356</cdr:x>
      <cdr:y>0.80903</cdr:y>
    </cdr:to>
    <cdr:cxnSp macro="">
      <cdr:nvCxnSpPr>
        <cdr:cNvPr id="13" name="Straight Connector 12"/>
        <cdr:cNvCxnSpPr/>
      </cdr:nvCxnSpPr>
      <cdr:spPr>
        <a:xfrm xmlns:a="http://schemas.openxmlformats.org/drawingml/2006/main" flipV="1">
          <a:off x="77746" y="832656"/>
          <a:ext cx="0" cy="1956391"/>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0.01285</cdr:x>
      <cdr:y>0.24136</cdr:y>
    </cdr:from>
    <cdr:to>
      <cdr:x>0.58838</cdr:x>
      <cdr:y>0.2419</cdr:y>
    </cdr:to>
    <cdr:cxnSp macro="">
      <cdr:nvCxnSpPr>
        <cdr:cNvPr id="16" name="Straight Connector 15"/>
        <cdr:cNvCxnSpPr/>
      </cdr:nvCxnSpPr>
      <cdr:spPr>
        <a:xfrm xmlns:a="http://schemas.openxmlformats.org/drawingml/2006/main">
          <a:off x="73672" y="832061"/>
          <a:ext cx="3298634" cy="187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0.5875</cdr:x>
      <cdr:y>0.24136</cdr:y>
    </cdr:from>
    <cdr:to>
      <cdr:x>0.58977</cdr:x>
      <cdr:y>0.67505</cdr:y>
    </cdr:to>
    <cdr:cxnSp macro="">
      <cdr:nvCxnSpPr>
        <cdr:cNvPr id="19" name="Straight Connector 18"/>
        <cdr:cNvCxnSpPr/>
      </cdr:nvCxnSpPr>
      <cdr:spPr>
        <a:xfrm xmlns:a="http://schemas.openxmlformats.org/drawingml/2006/main">
          <a:off x="3367245" y="832061"/>
          <a:ext cx="13001" cy="1495109"/>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0.56766</cdr:x>
      <cdr:y>0.67544</cdr:y>
    </cdr:from>
    <cdr:to>
      <cdr:x>0.58992</cdr:x>
      <cdr:y>0.67544</cdr:y>
    </cdr:to>
    <cdr:cxnSp macro="">
      <cdr:nvCxnSpPr>
        <cdr:cNvPr id="28" name="Straight Arrow Connector 27"/>
        <cdr:cNvCxnSpPr/>
      </cdr:nvCxnSpPr>
      <cdr:spPr>
        <a:xfrm xmlns:a="http://schemas.openxmlformats.org/drawingml/2006/main" flipH="1">
          <a:off x="3253563" y="2328530"/>
          <a:ext cx="127590" cy="0"/>
        </a:xfrm>
        <a:prstGeom xmlns:a="http://schemas.openxmlformats.org/drawingml/2006/main" prst="straightConnector1">
          <a:avLst/>
        </a:prstGeom>
        <a:ln xmlns:a="http://schemas.openxmlformats.org/drawingml/2006/main">
          <a:solidFill>
            <a:srgbClr val="FF0000"/>
          </a:solidFill>
          <a:tailEnd type="arrow"/>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0.02553</cdr:x>
      <cdr:y>0.83604</cdr:y>
    </cdr:from>
    <cdr:to>
      <cdr:x>0.0466</cdr:x>
      <cdr:y>0.83775</cdr:y>
    </cdr:to>
    <cdr:cxnSp macro="">
      <cdr:nvCxnSpPr>
        <cdr:cNvPr id="35" name="Straight Arrow Connector 34"/>
        <cdr:cNvCxnSpPr/>
      </cdr:nvCxnSpPr>
      <cdr:spPr>
        <a:xfrm xmlns:a="http://schemas.openxmlformats.org/drawingml/2006/main">
          <a:off x="146325" y="2882177"/>
          <a:ext cx="120752" cy="5878"/>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0.02548</cdr:x>
      <cdr:y>0.31313</cdr:y>
    </cdr:from>
    <cdr:to>
      <cdr:x>0.0277</cdr:x>
      <cdr:y>0.83809</cdr:y>
    </cdr:to>
    <cdr:cxnSp macro="">
      <cdr:nvCxnSpPr>
        <cdr:cNvPr id="40" name="Straight Connector 39"/>
        <cdr:cNvCxnSpPr/>
      </cdr:nvCxnSpPr>
      <cdr:spPr>
        <a:xfrm xmlns:a="http://schemas.openxmlformats.org/drawingml/2006/main" flipV="1">
          <a:off x="146050" y="1079500"/>
          <a:ext cx="12700" cy="18097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0.02764</cdr:x>
      <cdr:y>0.31498</cdr:y>
    </cdr:from>
    <cdr:to>
      <cdr:x>0.57057</cdr:x>
      <cdr:y>0.31514</cdr:y>
    </cdr:to>
    <cdr:cxnSp macro="">
      <cdr:nvCxnSpPr>
        <cdr:cNvPr id="44" name="Straight Connector 43"/>
        <cdr:cNvCxnSpPr/>
      </cdr:nvCxnSpPr>
      <cdr:spPr>
        <a:xfrm xmlns:a="http://schemas.openxmlformats.org/drawingml/2006/main" flipV="1">
          <a:off x="158436" y="1085867"/>
          <a:ext cx="3111792" cy="549"/>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0.56947</cdr:x>
      <cdr:y>0.31313</cdr:y>
    </cdr:from>
    <cdr:to>
      <cdr:x>0.5739</cdr:x>
      <cdr:y>0.74047</cdr:y>
    </cdr:to>
    <cdr:cxnSp macro="">
      <cdr:nvCxnSpPr>
        <cdr:cNvPr id="46" name="Straight Connector 45"/>
        <cdr:cNvCxnSpPr/>
      </cdr:nvCxnSpPr>
      <cdr:spPr>
        <a:xfrm xmlns:a="http://schemas.openxmlformats.org/drawingml/2006/main">
          <a:off x="3263900" y="1079500"/>
          <a:ext cx="25400" cy="14732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0.55839</cdr:x>
      <cdr:y>0.73863</cdr:y>
    </cdr:from>
    <cdr:to>
      <cdr:x>0.5739</cdr:x>
      <cdr:y>0.73863</cdr:y>
    </cdr:to>
    <cdr:cxnSp macro="">
      <cdr:nvCxnSpPr>
        <cdr:cNvPr id="51" name="Straight Arrow Connector 50"/>
        <cdr:cNvCxnSpPr/>
      </cdr:nvCxnSpPr>
      <cdr:spPr>
        <a:xfrm xmlns:a="http://schemas.openxmlformats.org/drawingml/2006/main" flipH="1">
          <a:off x="3200400" y="2546350"/>
          <a:ext cx="88900" cy="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0.21708</cdr:x>
      <cdr:y>0.19359</cdr:y>
    </cdr:from>
    <cdr:to>
      <cdr:x>0.30682</cdr:x>
      <cdr:y>0.2378</cdr:y>
    </cdr:to>
    <cdr:sp macro="" textlink="">
      <cdr:nvSpPr>
        <cdr:cNvPr id="57" name="Text Box 56"/>
        <cdr:cNvSpPr txBox="1"/>
      </cdr:nvSpPr>
      <cdr:spPr>
        <a:xfrm xmlns:a="http://schemas.openxmlformats.org/drawingml/2006/main">
          <a:off x="1244174" y="667381"/>
          <a:ext cx="514346" cy="1524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a:solidFill>
                <a:srgbClr val="FF0000"/>
              </a:solidFill>
              <a:latin typeface="Times New Roman" pitchFamily="18" charset="0"/>
              <a:cs typeface="Times New Roman" pitchFamily="18" charset="0"/>
            </a:rPr>
            <a:t>17.42</a:t>
          </a:r>
        </a:p>
      </cdr:txBody>
    </cdr:sp>
  </cdr:relSizeAnchor>
  <cdr:relSizeAnchor xmlns:cdr="http://schemas.openxmlformats.org/drawingml/2006/chartDrawing">
    <cdr:from>
      <cdr:x>0.23709</cdr:x>
      <cdr:y>0.20814</cdr:y>
    </cdr:from>
    <cdr:to>
      <cdr:x>0.32683</cdr:x>
      <cdr:y>0.25235</cdr:y>
    </cdr:to>
    <cdr:sp macro="" textlink="">
      <cdr:nvSpPr>
        <cdr:cNvPr id="58" name="Text Box 1"/>
        <cdr:cNvSpPr txBox="1"/>
      </cdr:nvSpPr>
      <cdr:spPr>
        <a:xfrm xmlns:a="http://schemas.openxmlformats.org/drawingml/2006/main">
          <a:off x="1358900" y="717550"/>
          <a:ext cx="514350" cy="152400"/>
        </a:xfrm>
        <a:prstGeom xmlns:a="http://schemas.openxmlformats.org/drawingml/2006/main" prst="rect">
          <a:avLst/>
        </a:prstGeom>
      </cdr:spPr>
    </cdr:sp>
  </cdr:relSizeAnchor>
  <cdr:relSizeAnchor xmlns:cdr="http://schemas.openxmlformats.org/drawingml/2006/chartDrawing">
    <cdr:from>
      <cdr:x>0.23709</cdr:x>
      <cdr:y>0.20814</cdr:y>
    </cdr:from>
    <cdr:to>
      <cdr:x>0.32683</cdr:x>
      <cdr:y>0.25235</cdr:y>
    </cdr:to>
    <cdr:sp macro="" textlink="">
      <cdr:nvSpPr>
        <cdr:cNvPr id="59" name="Text Box 1"/>
        <cdr:cNvSpPr txBox="1"/>
      </cdr:nvSpPr>
      <cdr:spPr>
        <a:xfrm xmlns:a="http://schemas.openxmlformats.org/drawingml/2006/main">
          <a:off x="1358900" y="717550"/>
          <a:ext cx="514350" cy="152400"/>
        </a:xfrm>
        <a:prstGeom xmlns:a="http://schemas.openxmlformats.org/drawingml/2006/main" prst="rect">
          <a:avLst/>
        </a:prstGeom>
      </cdr:spPr>
    </cdr:sp>
  </cdr:relSizeAnchor>
  <cdr:relSizeAnchor xmlns:cdr="http://schemas.openxmlformats.org/drawingml/2006/chartDrawing">
    <cdr:from>
      <cdr:x>0.217</cdr:x>
      <cdr:y>0.26662</cdr:y>
    </cdr:from>
    <cdr:to>
      <cdr:x>0.31117</cdr:x>
      <cdr:y>0.30899</cdr:y>
    </cdr:to>
    <cdr:sp macro="" textlink="">
      <cdr:nvSpPr>
        <cdr:cNvPr id="60" name="Text Box 59"/>
        <cdr:cNvSpPr txBox="1"/>
      </cdr:nvSpPr>
      <cdr:spPr>
        <a:xfrm xmlns:a="http://schemas.openxmlformats.org/drawingml/2006/main">
          <a:off x="1243760" y="919153"/>
          <a:ext cx="539736" cy="1460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a:latin typeface="Times New Roman" pitchFamily="18" charset="0"/>
              <a:cs typeface="Times New Roman" pitchFamily="18" charset="0"/>
            </a:rPr>
            <a:t>15.73</a:t>
          </a:r>
        </a:p>
      </cdr:txBody>
    </cdr:sp>
  </cdr:relSizeAnchor>
  <cdr:relSizeAnchor xmlns:cdr="http://schemas.openxmlformats.org/drawingml/2006/chartDrawing">
    <cdr:from>
      <cdr:x>0.59053</cdr:x>
      <cdr:y>0.58591</cdr:y>
    </cdr:from>
    <cdr:to>
      <cdr:x>0.65959</cdr:x>
      <cdr:y>0.69874</cdr:y>
    </cdr:to>
    <cdr:sp macro="" textlink="">
      <cdr:nvSpPr>
        <cdr:cNvPr id="61" name="Text Box 60"/>
        <cdr:cNvSpPr txBox="1"/>
      </cdr:nvSpPr>
      <cdr:spPr>
        <a:xfrm xmlns:a="http://schemas.openxmlformats.org/drawingml/2006/main">
          <a:off x="3384646" y="2019869"/>
          <a:ext cx="395784" cy="3889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a:solidFill>
                <a:srgbClr val="FF0000"/>
              </a:solidFill>
              <a:latin typeface="Times New Roman" pitchFamily="18" charset="0"/>
              <a:cs typeface="Times New Roman" pitchFamily="18" charset="0"/>
            </a:rPr>
            <a:t>3.67</a:t>
          </a:r>
        </a:p>
        <a:p xmlns:a="http://schemas.openxmlformats.org/drawingml/2006/main">
          <a:r>
            <a:rPr lang="en-IN" sz="800">
              <a:solidFill>
                <a:sysClr val="windowText" lastClr="000000"/>
              </a:solidFill>
              <a:latin typeface="Times New Roman" pitchFamily="18" charset="0"/>
              <a:cs typeface="Times New Roman" pitchFamily="18" charset="0"/>
            </a:rPr>
            <a:t>3.23</a:t>
          </a:r>
        </a:p>
      </cdr:txBody>
    </cdr:sp>
  </cdr:relSizeAnchor>
  <cdr:relSizeAnchor xmlns:cdr="http://schemas.openxmlformats.org/drawingml/2006/chartDrawing">
    <cdr:from>
      <cdr:x>0.02977</cdr:x>
      <cdr:y>0.02177</cdr:y>
    </cdr:from>
    <cdr:to>
      <cdr:x>0.04881</cdr:x>
      <cdr:y>0.05344</cdr:y>
    </cdr:to>
    <cdr:sp macro="" textlink="">
      <cdr:nvSpPr>
        <cdr:cNvPr id="62" name="Text Box 61"/>
        <cdr:cNvSpPr txBox="1"/>
      </cdr:nvSpPr>
      <cdr:spPr>
        <a:xfrm xmlns:a="http://schemas.openxmlformats.org/drawingml/2006/main">
          <a:off x="170624" y="75061"/>
          <a:ext cx="109128" cy="109179"/>
        </a:xfrm>
        <a:prstGeom xmlns:a="http://schemas.openxmlformats.org/drawingml/2006/main" prst="rect">
          <a:avLst/>
        </a:prstGeom>
        <a:solidFill xmlns:a="http://schemas.openxmlformats.org/drawingml/2006/main">
          <a:schemeClr val="bg1">
            <a:lumMod val="50000"/>
          </a:schemeClr>
        </a:solidFill>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0.04978</cdr:x>
      <cdr:y>0.02196</cdr:y>
    </cdr:from>
    <cdr:to>
      <cdr:x>0.06803</cdr:x>
      <cdr:y>0.05363</cdr:y>
    </cdr:to>
    <cdr:sp macro="" textlink="">
      <cdr:nvSpPr>
        <cdr:cNvPr id="63" name="Text Box 62"/>
        <cdr:cNvSpPr txBox="1"/>
      </cdr:nvSpPr>
      <cdr:spPr>
        <a:xfrm xmlns:a="http://schemas.openxmlformats.org/drawingml/2006/main">
          <a:off x="285340" y="75705"/>
          <a:ext cx="104600" cy="109180"/>
        </a:xfrm>
        <a:prstGeom xmlns:a="http://schemas.openxmlformats.org/drawingml/2006/main" prst="rect">
          <a:avLst/>
        </a:prstGeom>
        <a:solidFill xmlns:a="http://schemas.openxmlformats.org/drawingml/2006/main">
          <a:schemeClr val="bg1">
            <a:lumMod val="85000"/>
          </a:schemeClr>
        </a:solidFill>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0.05953</cdr:x>
      <cdr:y>0.08709</cdr:y>
    </cdr:from>
    <cdr:to>
      <cdr:x>0.0881</cdr:x>
      <cdr:y>0.13262</cdr:y>
    </cdr:to>
    <cdr:sp macro="" textlink="">
      <cdr:nvSpPr>
        <cdr:cNvPr id="65" name="Text Box 64"/>
        <cdr:cNvSpPr txBox="1"/>
      </cdr:nvSpPr>
      <cdr:spPr>
        <a:xfrm xmlns:a="http://schemas.openxmlformats.org/drawingml/2006/main">
          <a:off x="341194" y="300251"/>
          <a:ext cx="163773" cy="1569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0.06191</cdr:x>
      <cdr:y>0.07126</cdr:y>
    </cdr:from>
    <cdr:to>
      <cdr:x>0.12977</cdr:x>
      <cdr:y>0.15242</cdr:y>
    </cdr:to>
    <cdr:sp macro="" textlink="">
      <cdr:nvSpPr>
        <cdr:cNvPr id="66" name="Text Box 65"/>
        <cdr:cNvSpPr txBox="1"/>
      </cdr:nvSpPr>
      <cdr:spPr>
        <a:xfrm xmlns:a="http://schemas.openxmlformats.org/drawingml/2006/main">
          <a:off x="354842" y="245660"/>
          <a:ext cx="388961" cy="2797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0.05596</cdr:x>
      <cdr:y>0.09501</cdr:y>
    </cdr:from>
    <cdr:to>
      <cdr:x>0.08572</cdr:x>
      <cdr:y>0.12866</cdr:y>
    </cdr:to>
    <cdr:sp macro="" textlink="">
      <cdr:nvSpPr>
        <cdr:cNvPr id="67" name="Text Box 66"/>
        <cdr:cNvSpPr txBox="1"/>
      </cdr:nvSpPr>
      <cdr:spPr>
        <a:xfrm xmlns:a="http://schemas.openxmlformats.org/drawingml/2006/main">
          <a:off x="320721" y="327546"/>
          <a:ext cx="170597" cy="1160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0.03215</cdr:x>
      <cdr:y>0.0099</cdr:y>
    </cdr:from>
    <cdr:to>
      <cdr:x>0.49648</cdr:x>
      <cdr:y>0.08907</cdr:y>
    </cdr:to>
    <cdr:sp macro="" textlink="">
      <cdr:nvSpPr>
        <cdr:cNvPr id="68" name="Text Box 67"/>
        <cdr:cNvSpPr txBox="1"/>
      </cdr:nvSpPr>
      <cdr:spPr>
        <a:xfrm xmlns:a="http://schemas.openxmlformats.org/drawingml/2006/main">
          <a:off x="184245" y="34119"/>
          <a:ext cx="2661314" cy="272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0.07501</cdr:x>
      <cdr:y>0</cdr:y>
    </cdr:from>
    <cdr:to>
      <cdr:x>0.32027</cdr:x>
      <cdr:y>0.04949</cdr:y>
    </cdr:to>
    <cdr:sp macro="" textlink="">
      <cdr:nvSpPr>
        <cdr:cNvPr id="69" name="Text Box 68"/>
        <cdr:cNvSpPr txBox="1"/>
      </cdr:nvSpPr>
      <cdr:spPr>
        <a:xfrm xmlns:a="http://schemas.openxmlformats.org/drawingml/2006/main">
          <a:off x="429924" y="0"/>
          <a:ext cx="1405700" cy="1706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a:solidFill>
                <a:srgbClr val="FF0000"/>
              </a:solidFill>
              <a:latin typeface="Times New Roman" pitchFamily="18" charset="0"/>
              <a:cs typeface="Times New Roman" pitchFamily="18" charset="0"/>
            </a:rPr>
            <a:t>Total no. of cases referred</a:t>
          </a:r>
        </a:p>
      </cdr:txBody>
    </cdr:sp>
  </cdr:relSizeAnchor>
  <cdr:relSizeAnchor xmlns:cdr="http://schemas.openxmlformats.org/drawingml/2006/chartDrawing">
    <cdr:from>
      <cdr:x>0.02976</cdr:x>
      <cdr:y>0.07522</cdr:y>
    </cdr:from>
    <cdr:to>
      <cdr:x>0.0499</cdr:x>
      <cdr:y>0.11085</cdr:y>
    </cdr:to>
    <cdr:sp macro="" textlink="">
      <cdr:nvSpPr>
        <cdr:cNvPr id="70" name="Text Box 69"/>
        <cdr:cNvSpPr txBox="1"/>
      </cdr:nvSpPr>
      <cdr:spPr>
        <a:xfrm xmlns:a="http://schemas.openxmlformats.org/drawingml/2006/main">
          <a:off x="170570" y="259315"/>
          <a:ext cx="115432" cy="122831"/>
        </a:xfrm>
        <a:prstGeom xmlns:a="http://schemas.openxmlformats.org/drawingml/2006/main" prst="rect">
          <a:avLst/>
        </a:prstGeom>
        <a:solidFill xmlns:a="http://schemas.openxmlformats.org/drawingml/2006/main">
          <a:schemeClr val="bg1">
            <a:lumMod val="50000"/>
          </a:schemeClr>
        </a:solidFill>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0.04643</cdr:x>
      <cdr:y>0.06136</cdr:y>
    </cdr:from>
    <cdr:to>
      <cdr:x>0.26669</cdr:x>
      <cdr:y>0.11877</cdr:y>
    </cdr:to>
    <cdr:sp macro="" textlink="">
      <cdr:nvSpPr>
        <cdr:cNvPr id="71" name="Text Box 70"/>
        <cdr:cNvSpPr txBox="1"/>
      </cdr:nvSpPr>
      <cdr:spPr>
        <a:xfrm xmlns:a="http://schemas.openxmlformats.org/drawingml/2006/main">
          <a:off x="266132" y="211541"/>
          <a:ext cx="1262417" cy="1978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a:latin typeface="Times New Roman" pitchFamily="18" charset="0"/>
              <a:cs typeface="Times New Roman" pitchFamily="18" charset="0"/>
            </a:rPr>
            <a:t>Approved Cases</a:t>
          </a:r>
        </a:p>
      </cdr:txBody>
    </cdr:sp>
  </cdr:relSizeAnchor>
  <cdr:relSizeAnchor xmlns:cdr="http://schemas.openxmlformats.org/drawingml/2006/chartDrawing">
    <cdr:from>
      <cdr:x>0.33217</cdr:x>
      <cdr:y>0.04157</cdr:y>
    </cdr:from>
    <cdr:to>
      <cdr:x>0.79889</cdr:x>
      <cdr:y>0.04355</cdr:y>
    </cdr:to>
    <cdr:cxnSp macro="">
      <cdr:nvCxnSpPr>
        <cdr:cNvPr id="77" name="Straight Arrow Connector 76"/>
        <cdr:cNvCxnSpPr/>
      </cdr:nvCxnSpPr>
      <cdr:spPr>
        <a:xfrm xmlns:a="http://schemas.openxmlformats.org/drawingml/2006/main">
          <a:off x="1903863" y="143301"/>
          <a:ext cx="2674983" cy="6835"/>
        </a:xfrm>
        <a:prstGeom xmlns:a="http://schemas.openxmlformats.org/drawingml/2006/main" prst="straightConnector1">
          <a:avLst/>
        </a:prstGeom>
        <a:ln xmlns:a="http://schemas.openxmlformats.org/drawingml/2006/main">
          <a:solidFill>
            <a:srgbClr val="FF0000"/>
          </a:solidFill>
          <a:tailEnd type="arrow"/>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0.21193</cdr:x>
      <cdr:y>0.08907</cdr:y>
    </cdr:from>
    <cdr:to>
      <cdr:x>0.79889</cdr:x>
      <cdr:y>0.08907</cdr:y>
    </cdr:to>
    <cdr:cxnSp macro="">
      <cdr:nvCxnSpPr>
        <cdr:cNvPr id="82" name="Straight Arrow Connector 81"/>
        <cdr:cNvCxnSpPr/>
      </cdr:nvCxnSpPr>
      <cdr:spPr>
        <a:xfrm xmlns:a="http://schemas.openxmlformats.org/drawingml/2006/main" flipV="1">
          <a:off x="1214651" y="307061"/>
          <a:ext cx="3364195" cy="14"/>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0.65482</cdr:x>
      <cdr:y>0.4236</cdr:y>
    </cdr:from>
    <cdr:to>
      <cdr:x>0.71912</cdr:x>
      <cdr:y>0.53642</cdr:y>
    </cdr:to>
    <cdr:sp macro="" textlink="">
      <cdr:nvSpPr>
        <cdr:cNvPr id="83" name="Text Box 82"/>
        <cdr:cNvSpPr txBox="1"/>
      </cdr:nvSpPr>
      <cdr:spPr>
        <a:xfrm xmlns:a="http://schemas.openxmlformats.org/drawingml/2006/main">
          <a:off x="3753134" y="1460310"/>
          <a:ext cx="368490" cy="3889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000">
            <a:latin typeface="Times New Roman" pitchFamily="18" charset="0"/>
            <a:cs typeface="Times New Roman" pitchFamily="18" charset="0"/>
          </a:endParaRPr>
        </a:p>
      </cdr:txBody>
    </cdr:sp>
  </cdr:relSizeAnchor>
  <cdr:relSizeAnchor xmlns:cdr="http://schemas.openxmlformats.org/drawingml/2006/chartDrawing">
    <cdr:from>
      <cdr:x>0.5994</cdr:x>
      <cdr:y>0.60064</cdr:y>
    </cdr:from>
    <cdr:to>
      <cdr:x>0.66845</cdr:x>
      <cdr:y>0.71347</cdr:y>
    </cdr:to>
    <cdr:sp macro="" textlink="">
      <cdr:nvSpPr>
        <cdr:cNvPr id="84" name="Text Box 1"/>
        <cdr:cNvSpPr txBox="1"/>
      </cdr:nvSpPr>
      <cdr:spPr>
        <a:xfrm xmlns:a="http://schemas.openxmlformats.org/drawingml/2006/main">
          <a:off x="3435446" y="2070669"/>
          <a:ext cx="395784" cy="388961"/>
        </a:xfrm>
        <a:prstGeom xmlns:a="http://schemas.openxmlformats.org/drawingml/2006/main" prst="rect">
          <a:avLst/>
        </a:prstGeom>
      </cdr:spPr>
    </cdr:sp>
  </cdr:relSizeAnchor>
  <cdr:relSizeAnchor xmlns:cdr="http://schemas.openxmlformats.org/drawingml/2006/chartDrawing">
    <cdr:from>
      <cdr:x>0.65244</cdr:x>
      <cdr:y>0.47308</cdr:y>
    </cdr:from>
    <cdr:to>
      <cdr:x>0.72864</cdr:x>
      <cdr:y>0.58591</cdr:y>
    </cdr:to>
    <cdr:sp macro="" textlink="">
      <cdr:nvSpPr>
        <cdr:cNvPr id="85" name="Text Box 84"/>
        <cdr:cNvSpPr txBox="1"/>
      </cdr:nvSpPr>
      <cdr:spPr>
        <a:xfrm xmlns:a="http://schemas.openxmlformats.org/drawingml/2006/main">
          <a:off x="3739486" y="1630908"/>
          <a:ext cx="436729" cy="3889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a:solidFill>
                <a:srgbClr val="FF0000"/>
              </a:solidFill>
              <a:latin typeface="Times New Roman" pitchFamily="18" charset="0"/>
              <a:cs typeface="Times New Roman" pitchFamily="18" charset="0"/>
            </a:rPr>
            <a:t>4.11</a:t>
          </a:r>
        </a:p>
        <a:p xmlns:a="http://schemas.openxmlformats.org/drawingml/2006/main">
          <a:r>
            <a:rPr lang="en-IN" sz="800">
              <a:latin typeface="Times New Roman" pitchFamily="18" charset="0"/>
              <a:cs typeface="Times New Roman" pitchFamily="18" charset="0"/>
            </a:rPr>
            <a:t>1.20</a:t>
          </a:r>
        </a:p>
      </cdr:txBody>
    </cdr:sp>
  </cdr:relSizeAnchor>
  <cdr:relSizeAnchor xmlns:cdr="http://schemas.openxmlformats.org/drawingml/2006/chartDrawing">
    <cdr:from>
      <cdr:x>0.71912</cdr:x>
      <cdr:y>0.2593</cdr:y>
    </cdr:from>
    <cdr:to>
      <cdr:x>0.79531</cdr:x>
      <cdr:y>0.38797</cdr:y>
    </cdr:to>
    <cdr:sp macro="" textlink="">
      <cdr:nvSpPr>
        <cdr:cNvPr id="86" name="Text Box 85"/>
        <cdr:cNvSpPr txBox="1"/>
      </cdr:nvSpPr>
      <cdr:spPr>
        <a:xfrm xmlns:a="http://schemas.openxmlformats.org/drawingml/2006/main">
          <a:off x="4121625" y="893930"/>
          <a:ext cx="436728" cy="4435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800">
              <a:solidFill>
                <a:srgbClr val="FF0000"/>
              </a:solidFill>
              <a:latin typeface="Times New Roman" pitchFamily="18" charset="0"/>
              <a:cs typeface="Times New Roman" pitchFamily="18" charset="0"/>
            </a:rPr>
            <a:t>12.34</a:t>
          </a:r>
        </a:p>
        <a:p xmlns:a="http://schemas.openxmlformats.org/drawingml/2006/main">
          <a:pPr algn="ctr"/>
          <a:r>
            <a:rPr lang="en-IN" sz="800">
              <a:latin typeface="Times New Roman" pitchFamily="18" charset="0"/>
              <a:cs typeface="Times New Roman" pitchFamily="18" charset="0"/>
            </a:rPr>
            <a:t>7.20</a:t>
          </a:r>
        </a:p>
      </cdr:txBody>
    </cdr:sp>
  </cdr:relSizeAnchor>
  <cdr:relSizeAnchor xmlns:cdr="http://schemas.openxmlformats.org/drawingml/2006/chartDrawing">
    <cdr:from>
      <cdr:x>0.79055</cdr:x>
      <cdr:y>0.01386</cdr:y>
    </cdr:from>
    <cdr:to>
      <cdr:x>0.86675</cdr:x>
      <cdr:y>0.11481</cdr:y>
    </cdr:to>
    <cdr:sp macro="" textlink="">
      <cdr:nvSpPr>
        <cdr:cNvPr id="87" name="Text Box 86"/>
        <cdr:cNvSpPr txBox="1"/>
      </cdr:nvSpPr>
      <cdr:spPr>
        <a:xfrm xmlns:a="http://schemas.openxmlformats.org/drawingml/2006/main">
          <a:off x="4531057" y="47767"/>
          <a:ext cx="436728" cy="3480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a:solidFill>
                <a:srgbClr val="FF0000"/>
              </a:solidFill>
              <a:latin typeface="Times New Roman" pitchFamily="18" charset="0"/>
              <a:cs typeface="Times New Roman" pitchFamily="18" charset="0"/>
            </a:rPr>
            <a:t>16.64</a:t>
          </a:r>
        </a:p>
        <a:p xmlns:a="http://schemas.openxmlformats.org/drawingml/2006/main">
          <a:r>
            <a:rPr lang="en-IN" sz="800">
              <a:latin typeface="Times New Roman" pitchFamily="18" charset="0"/>
              <a:cs typeface="Times New Roman" pitchFamily="18" charset="0"/>
            </a:rPr>
            <a:t>14.27</a:t>
          </a:r>
        </a:p>
      </cdr:txBody>
    </cdr:sp>
  </cdr:relSizeAnchor>
  <cdr:relSizeAnchor xmlns:cdr="http://schemas.openxmlformats.org/drawingml/2006/chartDrawing">
    <cdr:from>
      <cdr:x>0.86556</cdr:x>
      <cdr:y>0.16825</cdr:y>
    </cdr:from>
    <cdr:to>
      <cdr:x>0.9489</cdr:x>
      <cdr:y>0.31077</cdr:y>
    </cdr:to>
    <cdr:sp macro="" textlink="">
      <cdr:nvSpPr>
        <cdr:cNvPr id="97" name="Text Box 96"/>
        <cdr:cNvSpPr txBox="1"/>
      </cdr:nvSpPr>
      <cdr:spPr>
        <a:xfrm xmlns:a="http://schemas.openxmlformats.org/drawingml/2006/main">
          <a:off x="4960961" y="580030"/>
          <a:ext cx="477672" cy="4913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a:solidFill>
                <a:srgbClr val="FF0000"/>
              </a:solidFill>
              <a:latin typeface="Times New Roman" pitchFamily="18" charset="0"/>
              <a:cs typeface="Times New Roman" pitchFamily="18" charset="0"/>
            </a:rPr>
            <a:t>24.01</a:t>
          </a:r>
        </a:p>
        <a:p xmlns:a="http://schemas.openxmlformats.org/drawingml/2006/main">
          <a:r>
            <a:rPr lang="en-IN" sz="800">
              <a:latin typeface="Times New Roman" pitchFamily="18" charset="0"/>
              <a:cs typeface="Times New Roman" pitchFamily="18" charset="0"/>
            </a:rPr>
            <a:t>18.44</a:t>
          </a:r>
        </a:p>
      </cdr:txBody>
    </cdr:sp>
  </cdr:relSizeAnchor>
  <cdr:relSizeAnchor xmlns:cdr="http://schemas.openxmlformats.org/drawingml/2006/chartDrawing">
    <cdr:from>
      <cdr:x>0.60125</cdr:x>
      <cdr:y>0.02375</cdr:y>
    </cdr:from>
    <cdr:to>
      <cdr:x>0.76674</cdr:x>
      <cdr:y>0.0673</cdr:y>
    </cdr:to>
    <cdr:sp macro="" textlink="">
      <cdr:nvSpPr>
        <cdr:cNvPr id="99" name="Text Box 98"/>
        <cdr:cNvSpPr txBox="1"/>
      </cdr:nvSpPr>
      <cdr:spPr>
        <a:xfrm xmlns:a="http://schemas.openxmlformats.org/drawingml/2006/main">
          <a:off x="3446060" y="81887"/>
          <a:ext cx="948519" cy="150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latin typeface="Times New Roman" pitchFamily="18" charset="0"/>
            <a:cs typeface="Times New Roman" pitchFamily="18" charset="0"/>
          </a:endParaRPr>
        </a:p>
      </cdr:txBody>
    </cdr:sp>
  </cdr:relSizeAnchor>
  <cdr:relSizeAnchor xmlns:cdr="http://schemas.openxmlformats.org/drawingml/2006/chartDrawing">
    <cdr:from>
      <cdr:x>0.54767</cdr:x>
      <cdr:y>0.04553</cdr:y>
    </cdr:from>
    <cdr:to>
      <cdr:x>0.76912</cdr:x>
      <cdr:y>0.12074</cdr:y>
    </cdr:to>
    <cdr:sp macro="" textlink="">
      <cdr:nvSpPr>
        <cdr:cNvPr id="100" name="Text Box 99"/>
        <cdr:cNvSpPr txBox="1"/>
      </cdr:nvSpPr>
      <cdr:spPr>
        <a:xfrm xmlns:a="http://schemas.openxmlformats.org/drawingml/2006/main">
          <a:off x="3138985" y="156949"/>
          <a:ext cx="1269242" cy="2593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a:latin typeface="Times New Roman" pitchFamily="18" charset="0"/>
              <a:cs typeface="Times New Roman" pitchFamily="18" charset="0"/>
            </a:rPr>
            <a:t>Amount in US$ Bn</a:t>
          </a:r>
        </a:p>
      </cdr:txBody>
    </cdr:sp>
  </cdr:relSizeAnchor>
  <cdr:relSizeAnchor xmlns:cdr="http://schemas.openxmlformats.org/drawingml/2006/chartDrawing">
    <cdr:from>
      <cdr:x>0.54767</cdr:x>
      <cdr:y>0</cdr:y>
    </cdr:from>
    <cdr:to>
      <cdr:x>0.7215</cdr:x>
      <cdr:y>0.04157</cdr:y>
    </cdr:to>
    <cdr:sp macro="" textlink="">
      <cdr:nvSpPr>
        <cdr:cNvPr id="101" name="Text Box 100"/>
        <cdr:cNvSpPr txBox="1"/>
      </cdr:nvSpPr>
      <cdr:spPr>
        <a:xfrm xmlns:a="http://schemas.openxmlformats.org/drawingml/2006/main">
          <a:off x="3138976" y="0"/>
          <a:ext cx="996308" cy="1454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a:solidFill>
                <a:srgbClr val="FF0000"/>
              </a:solidFill>
              <a:latin typeface="Times New Roman" pitchFamily="18" charset="0"/>
              <a:cs typeface="Times New Roman" pitchFamily="18" charset="0"/>
            </a:rPr>
            <a:t>Amount in US$ Bn</a:t>
          </a:r>
        </a:p>
      </cdr:txBody>
    </cdr:sp>
  </cdr:relSizeAnchor>
</c:userShapes>
</file>

<file path=word/drawings/drawing2.xml><?xml version="1.0" encoding="utf-8"?>
<c:userShapes xmlns:c="http://schemas.openxmlformats.org/drawingml/2006/chart">
  <cdr:relSizeAnchor xmlns:cdr="http://schemas.openxmlformats.org/drawingml/2006/chartDrawing">
    <cdr:from>
      <cdr:x>0.63303</cdr:x>
      <cdr:y>0.90698</cdr:y>
    </cdr:from>
    <cdr:to>
      <cdr:x>0.98471</cdr:x>
      <cdr:y>1</cdr:y>
    </cdr:to>
    <cdr:sp macro="" textlink="">
      <cdr:nvSpPr>
        <cdr:cNvPr id="2" name="Text Box 1"/>
        <cdr:cNvSpPr txBox="1"/>
      </cdr:nvSpPr>
      <cdr:spPr>
        <a:xfrm xmlns:a="http://schemas.openxmlformats.org/drawingml/2006/main">
          <a:off x="1971675" y="2600325"/>
          <a:ext cx="109537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700" i="1">
              <a:latin typeface="Times New Roman" pitchFamily="18" charset="0"/>
              <a:cs typeface="Times New Roman" pitchFamily="18" charset="0"/>
            </a:rPr>
            <a:t>Source :</a:t>
          </a:r>
          <a:r>
            <a:rPr lang="en-IN" sz="700" i="1" baseline="0">
              <a:latin typeface="Times New Roman" pitchFamily="18" charset="0"/>
              <a:cs typeface="Times New Roman" pitchFamily="18" charset="0"/>
            </a:rPr>
            <a:t> CDR Cell</a:t>
          </a:r>
          <a:endParaRPr lang="en-IN" sz="700" i="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3190</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Anant Khandelwal</dc:creator>
  <cp:lastModifiedBy>Claire</cp:lastModifiedBy>
  <cp:revision>2</cp:revision>
  <cp:lastPrinted>2014-11-18T19:04:00Z</cp:lastPrinted>
  <dcterms:created xsi:type="dcterms:W3CDTF">2014-11-24T10:12:00Z</dcterms:created>
  <dcterms:modified xsi:type="dcterms:W3CDTF">2014-11-24T10:12:00Z</dcterms:modified>
</cp:coreProperties>
</file>