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DA9B0" w14:textId="77777777" w:rsidR="004015FC" w:rsidRPr="002B05C5" w:rsidRDefault="004015FC" w:rsidP="004015FC">
      <w:pPr>
        <w:jc w:val="center"/>
        <w:rPr>
          <w:rFonts w:ascii="Times New Roman" w:hAnsi="Times New Roman" w:cs="Times New Roman"/>
          <w:b/>
          <w:sz w:val="32"/>
          <w:lang w:val="en-GB"/>
        </w:rPr>
      </w:pPr>
    </w:p>
    <w:p w14:paraId="324DA9B1" w14:textId="77777777" w:rsidR="004015FC" w:rsidRPr="002B05C5" w:rsidRDefault="004015FC" w:rsidP="004015FC">
      <w:pPr>
        <w:jc w:val="center"/>
        <w:rPr>
          <w:rFonts w:ascii="Times New Roman" w:hAnsi="Times New Roman" w:cs="Times New Roman"/>
          <w:b/>
          <w:sz w:val="32"/>
          <w:lang w:val="en-GB"/>
        </w:rPr>
      </w:pPr>
    </w:p>
    <w:p w14:paraId="324DA9B2" w14:textId="77777777" w:rsidR="000F1FB6" w:rsidRPr="002B05C5" w:rsidRDefault="000F1FB6" w:rsidP="004015FC">
      <w:pPr>
        <w:jc w:val="center"/>
        <w:rPr>
          <w:rFonts w:ascii="Times New Roman" w:hAnsi="Times New Roman" w:cs="Times New Roman"/>
          <w:b/>
          <w:sz w:val="32"/>
          <w:lang w:val="en-GB"/>
        </w:rPr>
      </w:pPr>
    </w:p>
    <w:p w14:paraId="324DA9B3" w14:textId="77777777" w:rsidR="000F1FB6" w:rsidRPr="002B05C5" w:rsidRDefault="000F1FB6" w:rsidP="004015FC">
      <w:pPr>
        <w:jc w:val="center"/>
        <w:rPr>
          <w:rFonts w:ascii="Times New Roman" w:hAnsi="Times New Roman" w:cs="Times New Roman"/>
          <w:b/>
          <w:sz w:val="32"/>
          <w:lang w:val="en-GB"/>
        </w:rPr>
      </w:pPr>
    </w:p>
    <w:p w14:paraId="324DA9B4" w14:textId="77777777" w:rsidR="004015FC" w:rsidRPr="002B05C5" w:rsidRDefault="004015FC" w:rsidP="004015FC">
      <w:pPr>
        <w:jc w:val="both"/>
        <w:rPr>
          <w:rFonts w:ascii="Times New Roman" w:hAnsi="Times New Roman" w:cs="Times New Roman"/>
          <w:b/>
          <w:sz w:val="48"/>
          <w:szCs w:val="48"/>
          <w:lang w:val="en-GB"/>
        </w:rPr>
      </w:pPr>
    </w:p>
    <w:p w14:paraId="324DA9B5" w14:textId="77777777" w:rsidR="004015FC" w:rsidRPr="002B05C5" w:rsidRDefault="004015FC" w:rsidP="004015FC">
      <w:pPr>
        <w:jc w:val="both"/>
        <w:rPr>
          <w:rFonts w:ascii="Times New Roman" w:hAnsi="Times New Roman" w:cs="Times New Roman"/>
          <w:b/>
          <w:sz w:val="48"/>
          <w:szCs w:val="48"/>
          <w:lang w:val="en-GB"/>
        </w:rPr>
      </w:pPr>
    </w:p>
    <w:p w14:paraId="324DA9B6" w14:textId="77777777" w:rsidR="004015FC" w:rsidRPr="002B05C5" w:rsidRDefault="00D00702" w:rsidP="004015FC">
      <w:pPr>
        <w:ind w:firstLine="708"/>
        <w:jc w:val="both"/>
        <w:rPr>
          <w:rFonts w:ascii="Times New Roman" w:hAnsi="Times New Roman" w:cs="Times New Roman"/>
          <w:b/>
          <w:sz w:val="68"/>
          <w:szCs w:val="68"/>
          <w:lang w:val="en-GB"/>
        </w:rPr>
      </w:pPr>
      <w:r w:rsidRPr="002B05C5">
        <w:rPr>
          <w:rFonts w:ascii="Times New Roman" w:hAnsi="Times New Roman" w:cs="Times New Roman"/>
          <w:b/>
          <w:sz w:val="68"/>
          <w:szCs w:val="68"/>
          <w:lang w:val="en-GB"/>
        </w:rPr>
        <w:t>INSOL</w:t>
      </w:r>
      <w:r w:rsidR="004015FC" w:rsidRPr="002B05C5">
        <w:rPr>
          <w:rFonts w:ascii="Times New Roman" w:hAnsi="Times New Roman" w:cs="Times New Roman"/>
          <w:b/>
          <w:sz w:val="68"/>
          <w:szCs w:val="68"/>
          <w:lang w:val="en-GB"/>
        </w:rPr>
        <w:t xml:space="preserve"> Europe Survey</w:t>
      </w:r>
    </w:p>
    <w:p w14:paraId="324DA9B7" w14:textId="77777777" w:rsidR="004015FC" w:rsidRPr="002B05C5" w:rsidRDefault="00D00702" w:rsidP="004015FC">
      <w:pPr>
        <w:ind w:firstLine="708"/>
        <w:jc w:val="both"/>
        <w:rPr>
          <w:rFonts w:ascii="Times New Roman" w:hAnsi="Times New Roman" w:cs="Times New Roman"/>
          <w:b/>
          <w:sz w:val="32"/>
          <w:lang w:val="en-GB"/>
        </w:rPr>
      </w:pPr>
      <w:r w:rsidRPr="002B05C5">
        <w:rPr>
          <w:rFonts w:ascii="Times New Roman" w:hAnsi="Times New Roman" w:cs="Times New Roman"/>
          <w:b/>
          <w:sz w:val="32"/>
          <w:lang w:val="en-GB"/>
        </w:rPr>
        <w:t>Insolvency Office H</w:t>
      </w:r>
      <w:r w:rsidR="004015FC" w:rsidRPr="002B05C5">
        <w:rPr>
          <w:rFonts w:ascii="Times New Roman" w:hAnsi="Times New Roman" w:cs="Times New Roman"/>
          <w:b/>
          <w:sz w:val="32"/>
          <w:lang w:val="en-GB"/>
        </w:rPr>
        <w:t>olders in Slovakia</w:t>
      </w:r>
    </w:p>
    <w:p w14:paraId="324DA9B8" w14:textId="77777777" w:rsidR="004015FC" w:rsidRPr="002B05C5" w:rsidRDefault="004015FC" w:rsidP="004015FC">
      <w:pPr>
        <w:ind w:firstLine="708"/>
        <w:jc w:val="both"/>
        <w:rPr>
          <w:rFonts w:ascii="Times New Roman" w:hAnsi="Times New Roman" w:cs="Times New Roman"/>
          <w:b/>
          <w:sz w:val="32"/>
          <w:lang w:val="en-GB"/>
        </w:rPr>
      </w:pPr>
    </w:p>
    <w:p w14:paraId="324DA9B9" w14:textId="77777777" w:rsidR="004015FC" w:rsidRPr="002B05C5" w:rsidRDefault="004015FC" w:rsidP="004015FC">
      <w:pPr>
        <w:ind w:firstLine="708"/>
        <w:jc w:val="both"/>
        <w:rPr>
          <w:rFonts w:ascii="Times New Roman" w:hAnsi="Times New Roman" w:cs="Times New Roman"/>
          <w:b/>
          <w:sz w:val="32"/>
          <w:lang w:val="en-GB"/>
        </w:rPr>
      </w:pPr>
      <w:r w:rsidRPr="002B05C5">
        <w:rPr>
          <w:rFonts w:ascii="Times New Roman" w:hAnsi="Times New Roman" w:cs="Times New Roman"/>
          <w:b/>
          <w:sz w:val="32"/>
          <w:lang w:val="en-GB"/>
        </w:rPr>
        <w:t>January 2016</w:t>
      </w:r>
    </w:p>
    <w:p w14:paraId="324DA9BA" w14:textId="77777777" w:rsidR="004015FC" w:rsidRPr="002B05C5" w:rsidRDefault="004015FC" w:rsidP="004015FC">
      <w:pPr>
        <w:jc w:val="center"/>
        <w:rPr>
          <w:rFonts w:ascii="Times New Roman" w:hAnsi="Times New Roman" w:cs="Times New Roman"/>
          <w:b/>
          <w:sz w:val="32"/>
          <w:lang w:val="en-GB"/>
        </w:rPr>
      </w:pPr>
    </w:p>
    <w:p w14:paraId="324DA9BB" w14:textId="77777777" w:rsidR="004015FC" w:rsidRPr="002B05C5" w:rsidRDefault="004015FC" w:rsidP="004015FC">
      <w:pPr>
        <w:jc w:val="center"/>
        <w:rPr>
          <w:rFonts w:ascii="Times New Roman" w:hAnsi="Times New Roman" w:cs="Times New Roman"/>
          <w:b/>
          <w:sz w:val="32"/>
          <w:lang w:val="en-GB"/>
        </w:rPr>
      </w:pPr>
    </w:p>
    <w:p w14:paraId="324DA9BC" w14:textId="77777777" w:rsidR="004015FC" w:rsidRPr="002B05C5" w:rsidRDefault="004015FC" w:rsidP="004015FC">
      <w:pPr>
        <w:jc w:val="center"/>
        <w:rPr>
          <w:rFonts w:ascii="Times New Roman" w:hAnsi="Times New Roman" w:cs="Times New Roman"/>
          <w:b/>
          <w:sz w:val="32"/>
          <w:lang w:val="en-GB"/>
        </w:rPr>
      </w:pPr>
    </w:p>
    <w:p w14:paraId="324DA9BD" w14:textId="77777777" w:rsidR="004015FC" w:rsidRPr="002B05C5" w:rsidRDefault="004015FC" w:rsidP="004015FC">
      <w:pPr>
        <w:jc w:val="center"/>
        <w:rPr>
          <w:rFonts w:ascii="Times New Roman" w:hAnsi="Times New Roman" w:cs="Times New Roman"/>
          <w:b/>
          <w:sz w:val="32"/>
          <w:lang w:val="en-GB"/>
        </w:rPr>
      </w:pPr>
    </w:p>
    <w:p w14:paraId="324DA9BE" w14:textId="77777777" w:rsidR="004015FC" w:rsidRPr="002B05C5" w:rsidRDefault="004015FC" w:rsidP="004015FC">
      <w:pPr>
        <w:jc w:val="center"/>
        <w:rPr>
          <w:rFonts w:ascii="Times New Roman" w:hAnsi="Times New Roman" w:cs="Times New Roman"/>
          <w:b/>
          <w:sz w:val="32"/>
          <w:lang w:val="en-GB"/>
        </w:rPr>
      </w:pPr>
    </w:p>
    <w:p w14:paraId="324DA9BF" w14:textId="77777777" w:rsidR="004015FC" w:rsidRPr="002B05C5" w:rsidRDefault="004015FC" w:rsidP="004015FC">
      <w:pPr>
        <w:jc w:val="center"/>
        <w:rPr>
          <w:rFonts w:ascii="Times New Roman" w:hAnsi="Times New Roman" w:cs="Times New Roman"/>
          <w:b/>
          <w:sz w:val="32"/>
          <w:lang w:val="en-GB"/>
        </w:rPr>
      </w:pPr>
    </w:p>
    <w:p w14:paraId="324DA9C0" w14:textId="77777777" w:rsidR="004015FC" w:rsidRPr="002B05C5" w:rsidRDefault="004015FC" w:rsidP="004015FC">
      <w:pPr>
        <w:jc w:val="center"/>
        <w:rPr>
          <w:rFonts w:ascii="Times New Roman" w:hAnsi="Times New Roman" w:cs="Times New Roman"/>
          <w:b/>
          <w:sz w:val="32"/>
          <w:lang w:val="en-GB"/>
        </w:rPr>
      </w:pPr>
    </w:p>
    <w:p w14:paraId="324DA9C1" w14:textId="77777777" w:rsidR="004015FC" w:rsidRPr="002B05C5" w:rsidRDefault="004015FC" w:rsidP="004015FC">
      <w:pPr>
        <w:jc w:val="center"/>
        <w:rPr>
          <w:rFonts w:ascii="Times New Roman" w:hAnsi="Times New Roman" w:cs="Times New Roman"/>
          <w:b/>
          <w:sz w:val="32"/>
          <w:lang w:val="en-GB"/>
        </w:rPr>
      </w:pPr>
    </w:p>
    <w:p w14:paraId="324DA9C2" w14:textId="77777777" w:rsidR="004015FC" w:rsidRPr="002B05C5" w:rsidRDefault="004015FC" w:rsidP="004015FC">
      <w:pPr>
        <w:jc w:val="center"/>
        <w:rPr>
          <w:rFonts w:ascii="Times New Roman" w:hAnsi="Times New Roman" w:cs="Times New Roman"/>
          <w:b/>
          <w:sz w:val="32"/>
          <w:lang w:val="en-GB"/>
        </w:rPr>
      </w:pPr>
    </w:p>
    <w:p w14:paraId="324DA9C3"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lastRenderedPageBreak/>
        <w:t>Types of Insolvency Office Holder</w:t>
      </w:r>
    </w:p>
    <w:p w14:paraId="324DA9C4" w14:textId="77777777" w:rsidR="006312E8" w:rsidRPr="002B05C5" w:rsidRDefault="006312E8"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9C5" w14:textId="77777777" w:rsidR="004015FC" w:rsidRPr="002B05C5" w:rsidRDefault="006F093F"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Insolvency Office Holders (IOH</w:t>
      </w:r>
      <w:r w:rsidR="00D00702" w:rsidRPr="002B05C5">
        <w:rPr>
          <w:rFonts w:ascii="Times New Roman" w:hAnsi="Times New Roman" w:cs="Times New Roman"/>
          <w:sz w:val="24"/>
          <w:szCs w:val="24"/>
          <w:lang w:val="en-GB"/>
        </w:rPr>
        <w:t>s</w:t>
      </w:r>
      <w:r w:rsidRPr="002B05C5">
        <w:rPr>
          <w:rFonts w:ascii="Times New Roman" w:hAnsi="Times New Roman" w:cs="Times New Roman"/>
          <w:sz w:val="24"/>
          <w:szCs w:val="24"/>
          <w:lang w:val="en-GB"/>
        </w:rPr>
        <w:t xml:space="preserve">) </w:t>
      </w:r>
      <w:r w:rsidR="00D00702" w:rsidRPr="002B05C5">
        <w:rPr>
          <w:rFonts w:ascii="Times New Roman" w:hAnsi="Times New Roman" w:cs="Times New Roman"/>
          <w:sz w:val="24"/>
          <w:szCs w:val="24"/>
          <w:lang w:val="en-GB"/>
        </w:rPr>
        <w:t>for</w:t>
      </w:r>
      <w:r w:rsidR="006312E8" w:rsidRPr="002B05C5">
        <w:rPr>
          <w:rFonts w:ascii="Times New Roman" w:hAnsi="Times New Roman" w:cs="Times New Roman"/>
          <w:sz w:val="24"/>
          <w:szCs w:val="24"/>
          <w:lang w:val="en-GB"/>
        </w:rPr>
        <w:t xml:space="preserve"> </w:t>
      </w:r>
      <w:r w:rsidR="00D00702" w:rsidRPr="002B05C5">
        <w:rPr>
          <w:rFonts w:ascii="Times New Roman" w:hAnsi="Times New Roman" w:cs="Times New Roman"/>
          <w:sz w:val="24"/>
          <w:szCs w:val="24"/>
          <w:lang w:val="en-GB"/>
        </w:rPr>
        <w:t>bankruptcy or</w:t>
      </w:r>
      <w:r w:rsidR="006F31EB" w:rsidRPr="002B05C5">
        <w:rPr>
          <w:rFonts w:ascii="Times New Roman" w:hAnsi="Times New Roman" w:cs="Times New Roman"/>
          <w:sz w:val="24"/>
          <w:szCs w:val="24"/>
          <w:lang w:val="en-GB"/>
        </w:rPr>
        <w:t xml:space="preserve"> restructuring proceedings</w:t>
      </w:r>
      <w:r w:rsidR="006312E8" w:rsidRPr="002B05C5">
        <w:rPr>
          <w:rFonts w:ascii="Times New Roman" w:hAnsi="Times New Roman" w:cs="Times New Roman"/>
          <w:sz w:val="24"/>
          <w:szCs w:val="24"/>
          <w:lang w:val="en-GB"/>
        </w:rPr>
        <w:t xml:space="preserve"> are registered in th</w:t>
      </w:r>
      <w:r w:rsidR="004015FC" w:rsidRPr="002B05C5">
        <w:rPr>
          <w:rFonts w:ascii="Times New Roman" w:hAnsi="Times New Roman" w:cs="Times New Roman"/>
          <w:sz w:val="24"/>
          <w:szCs w:val="24"/>
          <w:lang w:val="en-GB"/>
        </w:rPr>
        <w:t>e list of IOHs</w:t>
      </w:r>
      <w:r w:rsidR="006312E8" w:rsidRPr="002B05C5">
        <w:rPr>
          <w:rFonts w:ascii="Times New Roman" w:hAnsi="Times New Roman" w:cs="Times New Roman"/>
          <w:sz w:val="24"/>
          <w:szCs w:val="24"/>
          <w:lang w:val="en-GB"/>
        </w:rPr>
        <w:t xml:space="preserve"> maintained by the Ministry of Justice of the Slovak Republic (hereinafter referred to as the “Ministry”), which</w:t>
      </w:r>
      <w:r w:rsidR="004015FC" w:rsidRPr="002B05C5">
        <w:rPr>
          <w:rFonts w:ascii="Times New Roman" w:hAnsi="Times New Roman" w:cs="Times New Roman"/>
          <w:sz w:val="24"/>
          <w:szCs w:val="24"/>
          <w:lang w:val="en-GB"/>
        </w:rPr>
        <w:t xml:space="preserve"> is divided into</w:t>
      </w:r>
      <w:r w:rsidR="006312E8" w:rsidRPr="002B05C5">
        <w:rPr>
          <w:rFonts w:ascii="Times New Roman" w:hAnsi="Times New Roman" w:cs="Times New Roman"/>
          <w:sz w:val="24"/>
          <w:szCs w:val="24"/>
          <w:lang w:val="en-GB"/>
        </w:rPr>
        <w:t xml:space="preserve"> </w:t>
      </w:r>
      <w:r w:rsidR="0089490B" w:rsidRPr="002B05C5">
        <w:rPr>
          <w:rFonts w:ascii="Times New Roman" w:hAnsi="Times New Roman" w:cs="Times New Roman"/>
          <w:sz w:val="24"/>
          <w:szCs w:val="24"/>
          <w:lang w:val="en-GB"/>
        </w:rPr>
        <w:t xml:space="preserve">the </w:t>
      </w:r>
      <w:r w:rsidR="00D00702" w:rsidRPr="002B05C5">
        <w:rPr>
          <w:rFonts w:ascii="Times New Roman" w:hAnsi="Times New Roman" w:cs="Times New Roman"/>
          <w:sz w:val="24"/>
          <w:szCs w:val="24"/>
          <w:lang w:val="en-GB"/>
        </w:rPr>
        <w:t xml:space="preserve">following </w:t>
      </w:r>
      <w:r w:rsidR="006312E8" w:rsidRPr="002B05C5">
        <w:rPr>
          <w:rFonts w:ascii="Times New Roman" w:hAnsi="Times New Roman" w:cs="Times New Roman"/>
          <w:sz w:val="24"/>
          <w:szCs w:val="24"/>
          <w:lang w:val="en-GB"/>
        </w:rPr>
        <w:t>sections</w:t>
      </w:r>
      <w:r w:rsidR="004015FC" w:rsidRPr="002B05C5">
        <w:rPr>
          <w:rFonts w:ascii="Times New Roman" w:hAnsi="Times New Roman" w:cs="Times New Roman"/>
          <w:sz w:val="24"/>
          <w:szCs w:val="24"/>
          <w:lang w:val="en-GB"/>
        </w:rPr>
        <w:t>:</w:t>
      </w:r>
    </w:p>
    <w:p w14:paraId="324DA9C6" w14:textId="77777777" w:rsidR="004015FC" w:rsidRPr="002B05C5" w:rsidRDefault="009F5EE2" w:rsidP="0027110D">
      <w:pPr>
        <w:pStyle w:val="Paragraphedeliste"/>
        <w:numPr>
          <w:ilvl w:val="0"/>
          <w:numId w:val="10"/>
        </w:numPr>
        <w:spacing w:after="100" w:afterAutospacing="1"/>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R</w:t>
      </w:r>
      <w:r w:rsidR="004015FC" w:rsidRPr="002B05C5">
        <w:rPr>
          <w:rFonts w:ascii="Times New Roman" w:hAnsi="Times New Roman" w:cs="Times New Roman"/>
          <w:sz w:val="24"/>
          <w:szCs w:val="24"/>
          <w:lang w:val="en-GB"/>
        </w:rPr>
        <w:t xml:space="preserve">estructuring </w:t>
      </w:r>
      <w:r w:rsidR="00DE138F" w:rsidRPr="002B05C5">
        <w:rPr>
          <w:rFonts w:ascii="Times New Roman" w:hAnsi="Times New Roman" w:cs="Times New Roman"/>
          <w:sz w:val="24"/>
          <w:szCs w:val="24"/>
          <w:lang w:val="en-GB"/>
        </w:rPr>
        <w:t>Insolvency Office Holders;</w:t>
      </w:r>
    </w:p>
    <w:p w14:paraId="324DA9C7" w14:textId="77777777" w:rsidR="004015FC" w:rsidRPr="002B05C5" w:rsidRDefault="009F5EE2" w:rsidP="0027110D">
      <w:pPr>
        <w:pStyle w:val="Paragraphedeliste"/>
        <w:numPr>
          <w:ilvl w:val="0"/>
          <w:numId w:val="10"/>
        </w:numPr>
        <w:spacing w:after="100" w:afterAutospacing="1"/>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B</w:t>
      </w:r>
      <w:r w:rsidR="004015FC" w:rsidRPr="002B05C5">
        <w:rPr>
          <w:rFonts w:ascii="Times New Roman" w:hAnsi="Times New Roman" w:cs="Times New Roman"/>
          <w:sz w:val="24"/>
          <w:szCs w:val="24"/>
          <w:lang w:val="en-GB"/>
        </w:rPr>
        <w:t xml:space="preserve">ankruptcy </w:t>
      </w:r>
      <w:r w:rsidR="00DE138F" w:rsidRPr="002B05C5">
        <w:rPr>
          <w:rFonts w:ascii="Times New Roman" w:hAnsi="Times New Roman" w:cs="Times New Roman"/>
          <w:sz w:val="24"/>
          <w:szCs w:val="24"/>
          <w:lang w:val="en-GB"/>
        </w:rPr>
        <w:t xml:space="preserve">Insolvency Office Holders </w:t>
      </w:r>
      <w:r w:rsidR="004015FC" w:rsidRPr="002B05C5">
        <w:rPr>
          <w:rFonts w:ascii="Times New Roman" w:hAnsi="Times New Roman" w:cs="Times New Roman"/>
          <w:sz w:val="24"/>
          <w:szCs w:val="24"/>
          <w:lang w:val="en-GB"/>
        </w:rPr>
        <w:t>for legal entities</w:t>
      </w:r>
      <w:r w:rsidR="00DE138F" w:rsidRPr="002B05C5">
        <w:rPr>
          <w:rFonts w:ascii="Times New Roman" w:hAnsi="Times New Roman" w:cs="Times New Roman"/>
          <w:sz w:val="24"/>
          <w:szCs w:val="24"/>
          <w:lang w:val="en-GB"/>
        </w:rPr>
        <w:t>;</w:t>
      </w:r>
    </w:p>
    <w:p w14:paraId="324DA9C8" w14:textId="77777777" w:rsidR="004015FC" w:rsidRPr="002B05C5" w:rsidRDefault="009F5EE2" w:rsidP="0027110D">
      <w:pPr>
        <w:pStyle w:val="Paragraphedeliste"/>
        <w:numPr>
          <w:ilvl w:val="0"/>
          <w:numId w:val="10"/>
        </w:numPr>
        <w:spacing w:after="100" w:afterAutospacing="1"/>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B</w:t>
      </w:r>
      <w:r w:rsidR="004015FC" w:rsidRPr="002B05C5">
        <w:rPr>
          <w:rFonts w:ascii="Times New Roman" w:hAnsi="Times New Roman" w:cs="Times New Roman"/>
          <w:sz w:val="24"/>
          <w:szCs w:val="24"/>
          <w:lang w:val="en-GB"/>
        </w:rPr>
        <w:t xml:space="preserve">ankruptcy </w:t>
      </w:r>
      <w:r w:rsidR="00DE138F" w:rsidRPr="002B05C5">
        <w:rPr>
          <w:rFonts w:ascii="Times New Roman" w:hAnsi="Times New Roman" w:cs="Times New Roman"/>
          <w:sz w:val="24"/>
          <w:szCs w:val="24"/>
          <w:lang w:val="en-GB"/>
        </w:rPr>
        <w:t>Insolvency Office Holders</w:t>
      </w:r>
      <w:r w:rsidR="004015FC" w:rsidRPr="002B05C5">
        <w:rPr>
          <w:rFonts w:ascii="Times New Roman" w:hAnsi="Times New Roman" w:cs="Times New Roman"/>
          <w:sz w:val="24"/>
          <w:szCs w:val="24"/>
          <w:lang w:val="en-GB"/>
        </w:rPr>
        <w:t xml:space="preserve"> for natural persons</w:t>
      </w:r>
      <w:r w:rsidR="00DE138F" w:rsidRPr="002B05C5">
        <w:rPr>
          <w:rFonts w:ascii="Times New Roman" w:hAnsi="Times New Roman" w:cs="Times New Roman"/>
          <w:sz w:val="24"/>
          <w:szCs w:val="24"/>
          <w:lang w:val="en-GB"/>
        </w:rPr>
        <w:t>.</w:t>
      </w:r>
    </w:p>
    <w:p w14:paraId="324DA9C9" w14:textId="77777777" w:rsidR="006A0175" w:rsidRPr="002B05C5" w:rsidRDefault="00D31F82" w:rsidP="005471B5">
      <w:pPr>
        <w:spacing w:after="100" w:afterAutospacing="1"/>
        <w:ind w:left="708"/>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The Slovak Act on Bankruptcy and Restructuring </w:t>
      </w:r>
      <w:r w:rsidR="003C1FF6" w:rsidRPr="002B05C5">
        <w:rPr>
          <w:rFonts w:ascii="Times New Roman" w:hAnsi="Times New Roman" w:cs="Times New Roman"/>
          <w:sz w:val="24"/>
          <w:szCs w:val="24"/>
          <w:lang w:val="en-GB"/>
        </w:rPr>
        <w:t>differentiates between bankruptcy proceedings (</w:t>
      </w:r>
      <w:proofErr w:type="spellStart"/>
      <w:r w:rsidR="003C1FF6" w:rsidRPr="002B05C5">
        <w:rPr>
          <w:rFonts w:ascii="Times New Roman" w:hAnsi="Times New Roman" w:cs="Times New Roman"/>
          <w:i/>
          <w:sz w:val="24"/>
          <w:szCs w:val="24"/>
          <w:lang w:val="en-GB"/>
        </w:rPr>
        <w:t>konkurz</w:t>
      </w:r>
      <w:r w:rsidR="009F5EE2" w:rsidRPr="002B05C5">
        <w:rPr>
          <w:rFonts w:ascii="Times New Roman" w:hAnsi="Times New Roman" w:cs="Times New Roman"/>
          <w:i/>
          <w:sz w:val="24"/>
          <w:szCs w:val="24"/>
          <w:lang w:val="en-GB"/>
        </w:rPr>
        <w:t>né</w:t>
      </w:r>
      <w:proofErr w:type="spellEnd"/>
      <w:r w:rsidR="009F5EE2" w:rsidRPr="002B05C5">
        <w:rPr>
          <w:rFonts w:ascii="Times New Roman" w:hAnsi="Times New Roman" w:cs="Times New Roman"/>
          <w:i/>
          <w:sz w:val="24"/>
          <w:szCs w:val="24"/>
          <w:lang w:val="en-GB"/>
        </w:rPr>
        <w:t xml:space="preserve"> </w:t>
      </w:r>
      <w:proofErr w:type="spellStart"/>
      <w:r w:rsidR="009F5EE2" w:rsidRPr="002B05C5">
        <w:rPr>
          <w:rFonts w:ascii="Times New Roman" w:hAnsi="Times New Roman" w:cs="Times New Roman"/>
          <w:i/>
          <w:sz w:val="24"/>
          <w:szCs w:val="24"/>
          <w:lang w:val="en-GB"/>
        </w:rPr>
        <w:t>konanie</w:t>
      </w:r>
      <w:proofErr w:type="spellEnd"/>
      <w:r w:rsidR="003C1FF6" w:rsidRPr="002B05C5">
        <w:rPr>
          <w:rFonts w:ascii="Times New Roman" w:hAnsi="Times New Roman" w:cs="Times New Roman"/>
          <w:sz w:val="24"/>
          <w:szCs w:val="24"/>
          <w:lang w:val="en-GB"/>
        </w:rPr>
        <w:t>), restructuring proceedings (</w:t>
      </w:r>
      <w:proofErr w:type="spellStart"/>
      <w:r w:rsidR="003C1FF6" w:rsidRPr="002B05C5">
        <w:rPr>
          <w:rFonts w:ascii="Times New Roman" w:hAnsi="Times New Roman" w:cs="Times New Roman"/>
          <w:i/>
          <w:sz w:val="24"/>
          <w:szCs w:val="24"/>
          <w:lang w:val="en-GB"/>
        </w:rPr>
        <w:t>reštrukturaliz</w:t>
      </w:r>
      <w:r w:rsidR="009F5EE2" w:rsidRPr="002B05C5">
        <w:rPr>
          <w:rFonts w:ascii="Times New Roman" w:hAnsi="Times New Roman" w:cs="Times New Roman"/>
          <w:i/>
          <w:sz w:val="24"/>
          <w:szCs w:val="24"/>
          <w:lang w:val="en-GB"/>
        </w:rPr>
        <w:t>ačné</w:t>
      </w:r>
      <w:proofErr w:type="spellEnd"/>
      <w:r w:rsidR="009F5EE2" w:rsidRPr="002B05C5">
        <w:rPr>
          <w:rFonts w:ascii="Times New Roman" w:hAnsi="Times New Roman" w:cs="Times New Roman"/>
          <w:i/>
          <w:sz w:val="24"/>
          <w:szCs w:val="24"/>
          <w:lang w:val="en-GB"/>
        </w:rPr>
        <w:t xml:space="preserve"> </w:t>
      </w:r>
      <w:proofErr w:type="spellStart"/>
      <w:r w:rsidR="009F5EE2" w:rsidRPr="002B05C5">
        <w:rPr>
          <w:rFonts w:ascii="Times New Roman" w:hAnsi="Times New Roman" w:cs="Times New Roman"/>
          <w:i/>
          <w:sz w:val="24"/>
          <w:szCs w:val="24"/>
          <w:lang w:val="en-GB"/>
        </w:rPr>
        <w:t>konanie</w:t>
      </w:r>
      <w:proofErr w:type="spellEnd"/>
      <w:r w:rsidR="003C1FF6" w:rsidRPr="002B05C5">
        <w:rPr>
          <w:rFonts w:ascii="Times New Roman" w:hAnsi="Times New Roman" w:cs="Times New Roman"/>
          <w:sz w:val="24"/>
          <w:szCs w:val="24"/>
          <w:lang w:val="en-GB"/>
        </w:rPr>
        <w:t>) and personal bankruptcy</w:t>
      </w:r>
      <w:r w:rsidR="00B3063E" w:rsidRPr="002B05C5">
        <w:rPr>
          <w:rFonts w:ascii="Times New Roman" w:hAnsi="Times New Roman" w:cs="Times New Roman"/>
          <w:sz w:val="24"/>
          <w:szCs w:val="24"/>
          <w:lang w:val="en-GB"/>
        </w:rPr>
        <w:t xml:space="preserve"> (</w:t>
      </w:r>
      <w:proofErr w:type="spellStart"/>
      <w:r w:rsidR="00B3063E" w:rsidRPr="002B05C5">
        <w:rPr>
          <w:rFonts w:ascii="Times New Roman" w:hAnsi="Times New Roman" w:cs="Times New Roman"/>
          <w:i/>
          <w:sz w:val="24"/>
          <w:szCs w:val="24"/>
          <w:lang w:val="en-GB"/>
        </w:rPr>
        <w:t>oddlženie</w:t>
      </w:r>
      <w:proofErr w:type="spellEnd"/>
      <w:r w:rsidR="00B3063E" w:rsidRPr="002B05C5">
        <w:rPr>
          <w:rFonts w:ascii="Times New Roman" w:hAnsi="Times New Roman" w:cs="Times New Roman"/>
          <w:sz w:val="24"/>
          <w:szCs w:val="24"/>
          <w:lang w:val="en-GB"/>
        </w:rPr>
        <w:t>)</w:t>
      </w:r>
      <w:r w:rsidR="003C1FF6" w:rsidRPr="002B05C5">
        <w:rPr>
          <w:rFonts w:ascii="Times New Roman" w:hAnsi="Times New Roman" w:cs="Times New Roman"/>
          <w:sz w:val="24"/>
          <w:szCs w:val="24"/>
          <w:lang w:val="en-GB"/>
        </w:rPr>
        <w:t xml:space="preserve">. </w:t>
      </w:r>
    </w:p>
    <w:p w14:paraId="324DA9CA" w14:textId="77777777" w:rsidR="006A0175" w:rsidRPr="002B05C5" w:rsidRDefault="006A0175" w:rsidP="005471B5">
      <w:pPr>
        <w:spacing w:after="100" w:afterAutospacing="1"/>
        <w:ind w:left="708"/>
        <w:contextualSpacing/>
        <w:jc w:val="both"/>
        <w:rPr>
          <w:rFonts w:ascii="Times New Roman" w:hAnsi="Times New Roman" w:cs="Times New Roman"/>
          <w:sz w:val="24"/>
          <w:szCs w:val="24"/>
          <w:lang w:val="en-GB"/>
        </w:rPr>
      </w:pPr>
    </w:p>
    <w:p w14:paraId="324DA9CB" w14:textId="77777777" w:rsidR="006A0175" w:rsidRPr="002B05C5" w:rsidRDefault="006A0175" w:rsidP="005471B5">
      <w:pPr>
        <w:spacing w:after="100" w:afterAutospacing="1"/>
        <w:ind w:left="708"/>
        <w:contextualSpacing/>
        <w:jc w:val="both"/>
        <w:rPr>
          <w:rFonts w:ascii="Times New Roman" w:hAnsi="Times New Roman" w:cs="Times New Roman"/>
          <w:sz w:val="24"/>
          <w:szCs w:val="24"/>
          <w:lang w:val="en-GB"/>
        </w:rPr>
      </w:pPr>
      <w:r w:rsidRPr="002B05C5">
        <w:rPr>
          <w:rFonts w:ascii="Times New Roman" w:hAnsi="Times New Roman" w:cs="Times New Roman"/>
          <w:b/>
          <w:sz w:val="24"/>
          <w:szCs w:val="24"/>
          <w:lang w:val="en-GB"/>
        </w:rPr>
        <w:t>B</w:t>
      </w:r>
      <w:r w:rsidR="003C1FF6" w:rsidRPr="002B05C5">
        <w:rPr>
          <w:rFonts w:ascii="Times New Roman" w:hAnsi="Times New Roman" w:cs="Times New Roman"/>
          <w:b/>
          <w:sz w:val="24"/>
          <w:szCs w:val="24"/>
          <w:lang w:val="en-GB"/>
        </w:rPr>
        <w:t>ankruptcy</w:t>
      </w:r>
      <w:r w:rsidR="003C1FF6" w:rsidRPr="002B05C5">
        <w:rPr>
          <w:rFonts w:ascii="Times New Roman" w:hAnsi="Times New Roman" w:cs="Times New Roman"/>
          <w:sz w:val="24"/>
          <w:szCs w:val="24"/>
          <w:lang w:val="en-GB"/>
        </w:rPr>
        <w:t xml:space="preserve"> proceedings </w:t>
      </w:r>
      <w:r w:rsidR="000D29B2" w:rsidRPr="002B05C5">
        <w:rPr>
          <w:rFonts w:ascii="Times New Roman" w:hAnsi="Times New Roman" w:cs="Times New Roman"/>
          <w:sz w:val="24"/>
          <w:szCs w:val="24"/>
          <w:lang w:val="en-GB"/>
        </w:rPr>
        <w:t xml:space="preserve">are aimed at </w:t>
      </w:r>
      <w:r w:rsidRPr="002B05C5">
        <w:rPr>
          <w:rFonts w:ascii="Times New Roman" w:hAnsi="Times New Roman" w:cs="Times New Roman"/>
          <w:sz w:val="24"/>
          <w:szCs w:val="24"/>
          <w:lang w:val="en-GB"/>
        </w:rPr>
        <w:t xml:space="preserve">debtor’s liquidation and </w:t>
      </w:r>
      <w:r w:rsidR="00502D94" w:rsidRPr="002B05C5">
        <w:rPr>
          <w:rFonts w:ascii="Times New Roman" w:hAnsi="Times New Roman" w:cs="Times New Roman"/>
          <w:sz w:val="24"/>
          <w:szCs w:val="24"/>
          <w:lang w:val="en-GB"/>
        </w:rPr>
        <w:t xml:space="preserve">satisfying </w:t>
      </w:r>
      <w:r w:rsidR="00B409DA" w:rsidRPr="002B05C5">
        <w:rPr>
          <w:rFonts w:ascii="Times New Roman" w:hAnsi="Times New Roman" w:cs="Times New Roman"/>
          <w:sz w:val="24"/>
          <w:szCs w:val="24"/>
          <w:lang w:val="en-GB"/>
        </w:rPr>
        <w:t xml:space="preserve">the </w:t>
      </w:r>
      <w:r w:rsidR="00502D94" w:rsidRPr="002B05C5">
        <w:rPr>
          <w:rFonts w:ascii="Times New Roman" w:hAnsi="Times New Roman" w:cs="Times New Roman"/>
          <w:sz w:val="24"/>
          <w:szCs w:val="24"/>
          <w:lang w:val="en-GB"/>
        </w:rPr>
        <w:t xml:space="preserve">creditors from </w:t>
      </w:r>
      <w:r w:rsidR="00B409DA" w:rsidRPr="002B05C5">
        <w:rPr>
          <w:rFonts w:ascii="Times New Roman" w:hAnsi="Times New Roman" w:cs="Times New Roman"/>
          <w:sz w:val="24"/>
          <w:szCs w:val="24"/>
          <w:lang w:val="en-GB"/>
        </w:rPr>
        <w:t>the</w:t>
      </w:r>
      <w:r w:rsidR="00502D94" w:rsidRPr="002B05C5">
        <w:rPr>
          <w:rFonts w:ascii="Times New Roman" w:hAnsi="Times New Roman" w:cs="Times New Roman"/>
          <w:sz w:val="24"/>
          <w:szCs w:val="24"/>
          <w:lang w:val="en-GB"/>
        </w:rPr>
        <w:t xml:space="preserve"> sale of debtor'</w:t>
      </w:r>
      <w:r w:rsidRPr="002B05C5">
        <w:rPr>
          <w:rFonts w:ascii="Times New Roman" w:hAnsi="Times New Roman" w:cs="Times New Roman"/>
          <w:sz w:val="24"/>
          <w:szCs w:val="24"/>
          <w:lang w:val="en-GB"/>
        </w:rPr>
        <w:t>s assets. They are compulsory in case of over-indebtedness and voluntary in case of insolvency.</w:t>
      </w:r>
    </w:p>
    <w:p w14:paraId="324DA9CC" w14:textId="77777777" w:rsidR="00D31F82" w:rsidRPr="002B05C5" w:rsidRDefault="00D31F82" w:rsidP="005471B5">
      <w:pPr>
        <w:spacing w:after="100" w:afterAutospacing="1"/>
        <w:ind w:left="708"/>
        <w:contextualSpacing/>
        <w:jc w:val="both"/>
        <w:rPr>
          <w:rFonts w:ascii="Times New Roman" w:hAnsi="Times New Roman" w:cs="Times New Roman"/>
          <w:sz w:val="24"/>
          <w:szCs w:val="24"/>
          <w:lang w:val="en-GB"/>
        </w:rPr>
      </w:pPr>
    </w:p>
    <w:p w14:paraId="324DA9CD" w14:textId="77777777" w:rsidR="00D31F82" w:rsidRPr="002B05C5" w:rsidRDefault="006A0175" w:rsidP="00D31F82">
      <w:pPr>
        <w:spacing w:after="100" w:afterAutospacing="1"/>
        <w:ind w:left="708"/>
        <w:contextualSpacing/>
        <w:jc w:val="both"/>
        <w:rPr>
          <w:rFonts w:ascii="Times New Roman" w:hAnsi="Times New Roman" w:cs="Times New Roman"/>
          <w:sz w:val="24"/>
          <w:szCs w:val="24"/>
          <w:lang w:val="en-GB"/>
        </w:rPr>
      </w:pPr>
      <w:r w:rsidRPr="002B05C5">
        <w:rPr>
          <w:rFonts w:ascii="Times New Roman" w:hAnsi="Times New Roman" w:cs="Times New Roman"/>
          <w:b/>
          <w:sz w:val="24"/>
          <w:szCs w:val="24"/>
          <w:lang w:val="en-GB"/>
        </w:rPr>
        <w:t xml:space="preserve">Restructuring </w:t>
      </w:r>
      <w:r w:rsidRPr="002B05C5">
        <w:rPr>
          <w:rFonts w:ascii="Times New Roman" w:hAnsi="Times New Roman" w:cs="Times New Roman"/>
          <w:sz w:val="24"/>
          <w:szCs w:val="24"/>
          <w:lang w:val="en-GB"/>
        </w:rPr>
        <w:t>proceedings</w:t>
      </w:r>
      <w:r w:rsidRPr="002B05C5">
        <w:rPr>
          <w:rFonts w:ascii="Times New Roman" w:hAnsi="Times New Roman" w:cs="Times New Roman"/>
          <w:b/>
          <w:sz w:val="24"/>
          <w:szCs w:val="24"/>
          <w:lang w:val="en-GB"/>
        </w:rPr>
        <w:t xml:space="preserve"> </w:t>
      </w:r>
      <w:r w:rsidR="00D31F82" w:rsidRPr="002B05C5">
        <w:rPr>
          <w:rFonts w:ascii="Times New Roman" w:hAnsi="Times New Roman" w:cs="Times New Roman"/>
          <w:sz w:val="24"/>
          <w:szCs w:val="24"/>
          <w:lang w:val="en-GB"/>
        </w:rPr>
        <w:t>are voluntary proceedings aimed at debtor’s recovery enabling</w:t>
      </w:r>
      <w:r w:rsidR="00502D94" w:rsidRPr="002B05C5">
        <w:rPr>
          <w:rFonts w:ascii="Times New Roman" w:hAnsi="Times New Roman" w:cs="Times New Roman"/>
          <w:sz w:val="24"/>
          <w:szCs w:val="24"/>
          <w:lang w:val="en-GB"/>
        </w:rPr>
        <w:t xml:space="preserve"> the debtor to continue </w:t>
      </w:r>
      <w:r w:rsidR="00B409DA" w:rsidRPr="002B05C5">
        <w:rPr>
          <w:rFonts w:ascii="Times New Roman" w:hAnsi="Times New Roman" w:cs="Times New Roman"/>
          <w:sz w:val="24"/>
          <w:szCs w:val="24"/>
          <w:lang w:val="en-GB"/>
        </w:rPr>
        <w:t xml:space="preserve">to carry out </w:t>
      </w:r>
      <w:r w:rsidR="00502D94" w:rsidRPr="002B05C5">
        <w:rPr>
          <w:rFonts w:ascii="Times New Roman" w:hAnsi="Times New Roman" w:cs="Times New Roman"/>
          <w:sz w:val="24"/>
          <w:szCs w:val="24"/>
          <w:lang w:val="en-GB"/>
        </w:rPr>
        <w:t>its activities</w:t>
      </w:r>
      <w:r w:rsidR="00D31F82" w:rsidRPr="002B05C5">
        <w:rPr>
          <w:rFonts w:ascii="Times New Roman" w:hAnsi="Times New Roman" w:cs="Times New Roman"/>
          <w:sz w:val="24"/>
          <w:szCs w:val="24"/>
          <w:lang w:val="en-GB"/>
        </w:rPr>
        <w:t>. The</w:t>
      </w:r>
      <w:r w:rsidR="00502D94" w:rsidRPr="002B05C5">
        <w:rPr>
          <w:rFonts w:ascii="Times New Roman" w:hAnsi="Times New Roman" w:cs="Times New Roman"/>
          <w:sz w:val="24"/>
          <w:szCs w:val="24"/>
          <w:lang w:val="en-GB"/>
        </w:rPr>
        <w:t xml:space="preserve"> debtor's liabilities</w:t>
      </w:r>
      <w:r w:rsidR="00D31F82" w:rsidRPr="002B05C5">
        <w:rPr>
          <w:rFonts w:ascii="Times New Roman" w:hAnsi="Times New Roman" w:cs="Times New Roman"/>
          <w:sz w:val="24"/>
          <w:szCs w:val="24"/>
          <w:lang w:val="en-GB"/>
        </w:rPr>
        <w:t xml:space="preserve"> are being restructured</w:t>
      </w:r>
      <w:r w:rsidR="00502D94" w:rsidRPr="002B05C5">
        <w:rPr>
          <w:rFonts w:ascii="Times New Roman" w:hAnsi="Times New Roman" w:cs="Times New Roman"/>
          <w:sz w:val="24"/>
          <w:szCs w:val="24"/>
          <w:lang w:val="en-GB"/>
        </w:rPr>
        <w:t xml:space="preserve"> based on a restructuring plan. </w:t>
      </w:r>
    </w:p>
    <w:p w14:paraId="324DA9CE" w14:textId="77777777" w:rsidR="00D31F82" w:rsidRPr="002B05C5" w:rsidRDefault="00D31F82" w:rsidP="00D31F82">
      <w:pPr>
        <w:spacing w:after="100" w:afterAutospacing="1"/>
        <w:ind w:left="708"/>
        <w:contextualSpacing/>
        <w:jc w:val="both"/>
        <w:rPr>
          <w:rFonts w:ascii="Times New Roman" w:hAnsi="Times New Roman" w:cs="Times New Roman"/>
          <w:sz w:val="24"/>
          <w:szCs w:val="24"/>
          <w:lang w:val="en-GB"/>
        </w:rPr>
      </w:pPr>
    </w:p>
    <w:p w14:paraId="324DA9CF" w14:textId="77777777" w:rsidR="005471B5" w:rsidRPr="002B05C5" w:rsidRDefault="00502D94" w:rsidP="00D31F82">
      <w:pPr>
        <w:spacing w:after="100" w:afterAutospacing="1"/>
        <w:ind w:left="708"/>
        <w:contextualSpacing/>
        <w:jc w:val="both"/>
        <w:rPr>
          <w:rFonts w:ascii="Times New Roman" w:hAnsi="Times New Roman" w:cs="Times New Roman"/>
          <w:sz w:val="24"/>
          <w:szCs w:val="24"/>
          <w:lang w:val="en-GB"/>
        </w:rPr>
      </w:pPr>
      <w:r w:rsidRPr="002B05C5">
        <w:rPr>
          <w:rFonts w:ascii="Times New Roman" w:hAnsi="Times New Roman" w:cs="Times New Roman"/>
          <w:b/>
          <w:sz w:val="24"/>
          <w:szCs w:val="24"/>
          <w:lang w:val="en-GB"/>
        </w:rPr>
        <w:t>Personal bankrupt</w:t>
      </w:r>
      <w:r w:rsidR="00783E0F" w:rsidRPr="002B05C5">
        <w:rPr>
          <w:rFonts w:ascii="Times New Roman" w:hAnsi="Times New Roman" w:cs="Times New Roman"/>
          <w:b/>
          <w:sz w:val="24"/>
          <w:szCs w:val="24"/>
          <w:lang w:val="en-GB"/>
        </w:rPr>
        <w:t>cy</w:t>
      </w:r>
      <w:r w:rsidR="00783E0F" w:rsidRPr="002B05C5">
        <w:rPr>
          <w:rFonts w:ascii="Times New Roman" w:hAnsi="Times New Roman" w:cs="Times New Roman"/>
          <w:sz w:val="24"/>
          <w:szCs w:val="24"/>
          <w:lang w:val="en-GB"/>
        </w:rPr>
        <w:t xml:space="preserve"> proceedings concern insolvent </w:t>
      </w:r>
      <w:r w:rsidR="00B409DA" w:rsidRPr="002B05C5">
        <w:rPr>
          <w:rFonts w:ascii="Times New Roman" w:hAnsi="Times New Roman" w:cs="Times New Roman"/>
          <w:sz w:val="24"/>
          <w:szCs w:val="24"/>
          <w:lang w:val="en-GB"/>
        </w:rPr>
        <w:t>natural persons.</w:t>
      </w:r>
    </w:p>
    <w:p w14:paraId="324DA9D0" w14:textId="77777777" w:rsidR="00DE138F" w:rsidRPr="002B05C5" w:rsidRDefault="00DE138F" w:rsidP="00D31F82">
      <w:pPr>
        <w:spacing w:after="100" w:afterAutospacing="1"/>
        <w:ind w:left="708"/>
        <w:contextualSpacing/>
        <w:jc w:val="both"/>
        <w:rPr>
          <w:rFonts w:ascii="Times New Roman" w:hAnsi="Times New Roman" w:cs="Times New Roman"/>
          <w:sz w:val="24"/>
          <w:szCs w:val="24"/>
          <w:lang w:val="en-GB"/>
        </w:rPr>
      </w:pPr>
    </w:p>
    <w:p w14:paraId="324DA9D1" w14:textId="77777777" w:rsidR="004015FC" w:rsidRPr="002B05C5" w:rsidRDefault="00DE138F"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Size o</w:t>
      </w:r>
      <w:r w:rsidR="004015FC" w:rsidRPr="002B05C5">
        <w:rPr>
          <w:rFonts w:ascii="Times New Roman" w:hAnsi="Times New Roman" w:cs="Times New Roman"/>
          <w:b/>
          <w:sz w:val="28"/>
          <w:szCs w:val="28"/>
          <w:lang w:val="en-GB"/>
        </w:rPr>
        <w:t xml:space="preserve">f </w:t>
      </w:r>
      <w:r w:rsidRPr="002B05C5">
        <w:rPr>
          <w:rFonts w:ascii="Times New Roman" w:hAnsi="Times New Roman" w:cs="Times New Roman"/>
          <w:b/>
          <w:sz w:val="28"/>
          <w:szCs w:val="28"/>
          <w:lang w:val="en-GB"/>
        </w:rPr>
        <w:t>T</w:t>
      </w:r>
      <w:r w:rsidR="004015FC" w:rsidRPr="002B05C5">
        <w:rPr>
          <w:rFonts w:ascii="Times New Roman" w:hAnsi="Times New Roman" w:cs="Times New Roman"/>
          <w:b/>
          <w:sz w:val="28"/>
          <w:szCs w:val="28"/>
          <w:lang w:val="en-GB"/>
        </w:rPr>
        <w:t>he Profession</w:t>
      </w:r>
    </w:p>
    <w:p w14:paraId="324DA9D2" w14:textId="77777777" w:rsidR="006312E8" w:rsidRPr="002B05C5" w:rsidRDefault="006312E8"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9D3" w14:textId="77777777" w:rsidR="004015FC" w:rsidRPr="002B05C5" w:rsidRDefault="00DE138F"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Upon the accessible statistics of the Ministry, </w:t>
      </w:r>
      <w:r w:rsidR="004015FC" w:rsidRPr="002B05C5">
        <w:rPr>
          <w:rFonts w:ascii="Times New Roman" w:hAnsi="Times New Roman" w:cs="Times New Roman"/>
          <w:sz w:val="24"/>
          <w:szCs w:val="24"/>
          <w:lang w:val="en-GB"/>
        </w:rPr>
        <w:t>the</w:t>
      </w:r>
      <w:r w:rsidRPr="002B05C5">
        <w:rPr>
          <w:rFonts w:ascii="Times New Roman" w:hAnsi="Times New Roman" w:cs="Times New Roman"/>
          <w:sz w:val="24"/>
          <w:szCs w:val="24"/>
          <w:lang w:val="en-GB"/>
        </w:rPr>
        <w:t xml:space="preserve"> current</w:t>
      </w:r>
      <w:r w:rsidR="004015FC" w:rsidRPr="002B05C5">
        <w:rPr>
          <w:rFonts w:ascii="Times New Roman" w:hAnsi="Times New Roman" w:cs="Times New Roman"/>
          <w:sz w:val="24"/>
          <w:szCs w:val="24"/>
          <w:lang w:val="en-GB"/>
        </w:rPr>
        <w:t xml:space="preserve"> number of IOHs registered in the list of IOHs is 1769.</w:t>
      </w:r>
      <w:r w:rsidR="00D00702" w:rsidRPr="002B05C5">
        <w:rPr>
          <w:rFonts w:ascii="Times New Roman" w:hAnsi="Times New Roman" w:cs="Times New Roman"/>
          <w:sz w:val="24"/>
          <w:szCs w:val="24"/>
          <w:lang w:val="en-GB"/>
        </w:rPr>
        <w:t xml:space="preserve"> We are not aware of any upper limit on the number of IOHs</w:t>
      </w:r>
      <w:r w:rsidRPr="002B05C5">
        <w:rPr>
          <w:rFonts w:ascii="Times New Roman" w:hAnsi="Times New Roman" w:cs="Times New Roman"/>
          <w:sz w:val="24"/>
          <w:szCs w:val="24"/>
          <w:lang w:val="en-GB"/>
        </w:rPr>
        <w:t xml:space="preserve"> and there is no statutory restriction on the size of profession</w:t>
      </w:r>
      <w:r w:rsidR="00D00702" w:rsidRPr="002B05C5">
        <w:rPr>
          <w:rFonts w:ascii="Times New Roman" w:hAnsi="Times New Roman" w:cs="Times New Roman"/>
          <w:sz w:val="24"/>
          <w:szCs w:val="24"/>
          <w:lang w:val="en-GB"/>
        </w:rPr>
        <w:t>.</w:t>
      </w:r>
    </w:p>
    <w:p w14:paraId="324DA9D4"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Practising Norms</w:t>
      </w:r>
    </w:p>
    <w:p w14:paraId="324DA9D5" w14:textId="77777777" w:rsidR="006312E8" w:rsidRPr="002B05C5" w:rsidRDefault="006312E8"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9D6" w14:textId="77777777" w:rsidR="00DE138F" w:rsidRPr="002B05C5" w:rsidRDefault="000647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An</w:t>
      </w:r>
      <w:r w:rsidR="004015FC" w:rsidRPr="002B05C5">
        <w:rPr>
          <w:rFonts w:ascii="Times New Roman" w:hAnsi="Times New Roman" w:cs="Times New Roman"/>
          <w:sz w:val="24"/>
          <w:szCs w:val="24"/>
          <w:lang w:val="en-GB"/>
        </w:rPr>
        <w:t xml:space="preserve"> IOH can be either a natural person or a legal person. </w:t>
      </w:r>
    </w:p>
    <w:p w14:paraId="324DA9D7"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A legal person may act as an IOH provided that at least some of its shareholders are liable with their entire property for its obligations (i.e. general partnership </w:t>
      </w:r>
      <w:r w:rsidR="00DE138F" w:rsidRPr="002B05C5">
        <w:rPr>
          <w:rFonts w:ascii="Times New Roman" w:hAnsi="Times New Roman" w:cs="Times New Roman"/>
          <w:sz w:val="24"/>
          <w:szCs w:val="24"/>
          <w:lang w:val="en-GB"/>
        </w:rPr>
        <w:t xml:space="preserve">(in Slovak: </w:t>
      </w:r>
      <w:proofErr w:type="spellStart"/>
      <w:r w:rsidRPr="002B05C5">
        <w:rPr>
          <w:rFonts w:ascii="Times New Roman" w:hAnsi="Times New Roman" w:cs="Times New Roman"/>
          <w:i/>
          <w:sz w:val="24"/>
          <w:szCs w:val="24"/>
          <w:lang w:val="en-GB"/>
        </w:rPr>
        <w:t>verejná</w:t>
      </w:r>
      <w:proofErr w:type="spellEnd"/>
      <w:r w:rsidRPr="002B05C5">
        <w:rPr>
          <w:rFonts w:ascii="Times New Roman" w:hAnsi="Times New Roman" w:cs="Times New Roman"/>
          <w:i/>
          <w:sz w:val="24"/>
          <w:szCs w:val="24"/>
          <w:lang w:val="en-GB"/>
        </w:rPr>
        <w:t xml:space="preserve"> </w:t>
      </w:r>
      <w:proofErr w:type="spellStart"/>
      <w:r w:rsidRPr="002B05C5">
        <w:rPr>
          <w:rFonts w:ascii="Times New Roman" w:hAnsi="Times New Roman" w:cs="Times New Roman"/>
          <w:i/>
          <w:sz w:val="24"/>
          <w:szCs w:val="24"/>
          <w:lang w:val="en-GB"/>
        </w:rPr>
        <w:t>obchodná</w:t>
      </w:r>
      <w:proofErr w:type="spellEnd"/>
      <w:r w:rsidRPr="002B05C5">
        <w:rPr>
          <w:rFonts w:ascii="Times New Roman" w:hAnsi="Times New Roman" w:cs="Times New Roman"/>
          <w:i/>
          <w:sz w:val="24"/>
          <w:szCs w:val="24"/>
          <w:lang w:val="en-GB"/>
        </w:rPr>
        <w:t xml:space="preserve"> </w:t>
      </w:r>
      <w:proofErr w:type="spellStart"/>
      <w:r w:rsidRPr="002B05C5">
        <w:rPr>
          <w:rFonts w:ascii="Times New Roman" w:hAnsi="Times New Roman" w:cs="Times New Roman"/>
          <w:i/>
          <w:sz w:val="24"/>
          <w:szCs w:val="24"/>
          <w:lang w:val="en-GB"/>
        </w:rPr>
        <w:t>spoločnosť</w:t>
      </w:r>
      <w:proofErr w:type="spellEnd"/>
      <w:r w:rsidR="00DE138F"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xml:space="preserve"> or limited partnership </w:t>
      </w:r>
      <w:r w:rsidR="00DE138F" w:rsidRPr="002B05C5">
        <w:rPr>
          <w:rFonts w:ascii="Times New Roman" w:hAnsi="Times New Roman" w:cs="Times New Roman"/>
          <w:sz w:val="24"/>
          <w:szCs w:val="24"/>
          <w:lang w:val="en-GB"/>
        </w:rPr>
        <w:t xml:space="preserve">(in Slovak: </w:t>
      </w:r>
      <w:proofErr w:type="spellStart"/>
      <w:r w:rsidRPr="002B05C5">
        <w:rPr>
          <w:rFonts w:ascii="Times New Roman" w:hAnsi="Times New Roman" w:cs="Times New Roman"/>
          <w:i/>
          <w:sz w:val="24"/>
          <w:szCs w:val="24"/>
          <w:lang w:val="en-GB"/>
        </w:rPr>
        <w:t>komanditná</w:t>
      </w:r>
      <w:proofErr w:type="spellEnd"/>
      <w:r w:rsidRPr="002B05C5">
        <w:rPr>
          <w:rFonts w:ascii="Times New Roman" w:hAnsi="Times New Roman" w:cs="Times New Roman"/>
          <w:i/>
          <w:sz w:val="24"/>
          <w:szCs w:val="24"/>
          <w:lang w:val="en-GB"/>
        </w:rPr>
        <w:t xml:space="preserve"> </w:t>
      </w:r>
      <w:proofErr w:type="spellStart"/>
      <w:r w:rsidRPr="002B05C5">
        <w:rPr>
          <w:rFonts w:ascii="Times New Roman" w:hAnsi="Times New Roman" w:cs="Times New Roman"/>
          <w:i/>
          <w:sz w:val="24"/>
          <w:szCs w:val="24"/>
          <w:lang w:val="en-GB"/>
        </w:rPr>
        <w:t>spoločnosť</w:t>
      </w:r>
      <w:proofErr w:type="spellEnd"/>
      <w:r w:rsidR="00DE138F"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In addition, an IOH may</w:t>
      </w:r>
      <w:r w:rsidR="006312E8"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xml:space="preserve"> at the same time</w:t>
      </w:r>
      <w:r w:rsidR="006312E8"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xml:space="preserve"> exercise profession of an attorney of law or </w:t>
      </w:r>
      <w:r w:rsidR="006312E8" w:rsidRPr="002B05C5">
        <w:rPr>
          <w:rFonts w:ascii="Times New Roman" w:hAnsi="Times New Roman" w:cs="Times New Roman"/>
          <w:sz w:val="24"/>
          <w:szCs w:val="24"/>
          <w:lang w:val="en-GB"/>
        </w:rPr>
        <w:t xml:space="preserve">a </w:t>
      </w:r>
      <w:r w:rsidRPr="002B05C5">
        <w:rPr>
          <w:rFonts w:ascii="Times New Roman" w:hAnsi="Times New Roman" w:cs="Times New Roman"/>
          <w:sz w:val="24"/>
          <w:szCs w:val="24"/>
          <w:lang w:val="en-GB"/>
        </w:rPr>
        <w:t>tax advisor. Thus, an attorney</w:t>
      </w:r>
      <w:r w:rsidR="00502D94"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xml:space="preserve">s office or </w:t>
      </w:r>
      <w:r w:rsidR="006312E8" w:rsidRPr="002B05C5">
        <w:rPr>
          <w:rFonts w:ascii="Times New Roman" w:hAnsi="Times New Roman" w:cs="Times New Roman"/>
          <w:sz w:val="24"/>
          <w:szCs w:val="24"/>
          <w:lang w:val="en-GB"/>
        </w:rPr>
        <w:t xml:space="preserve">a </w:t>
      </w:r>
      <w:r w:rsidRPr="002B05C5">
        <w:rPr>
          <w:rFonts w:ascii="Times New Roman" w:hAnsi="Times New Roman" w:cs="Times New Roman"/>
          <w:sz w:val="24"/>
          <w:szCs w:val="24"/>
          <w:lang w:val="en-GB"/>
        </w:rPr>
        <w:t xml:space="preserve">tax advisor’s office can also act as an IOH (if established in the </w:t>
      </w:r>
      <w:bookmarkStart w:id="0" w:name="_GoBack"/>
      <w:bookmarkEnd w:id="0"/>
      <w:r w:rsidRPr="002B05C5">
        <w:rPr>
          <w:rFonts w:ascii="Times New Roman" w:hAnsi="Times New Roman" w:cs="Times New Roman"/>
          <w:sz w:val="24"/>
          <w:szCs w:val="24"/>
          <w:lang w:val="en-GB"/>
        </w:rPr>
        <w:t>required form).</w:t>
      </w:r>
    </w:p>
    <w:p w14:paraId="324DA9D8"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lastRenderedPageBreak/>
        <w:t xml:space="preserve">If a legal person applies for registration in the List of </w:t>
      </w:r>
      <w:r w:rsidR="00D00702" w:rsidRPr="002B05C5">
        <w:rPr>
          <w:rFonts w:ascii="Times New Roman" w:hAnsi="Times New Roman" w:cs="Times New Roman"/>
          <w:sz w:val="24"/>
          <w:szCs w:val="24"/>
          <w:lang w:val="en-GB"/>
        </w:rPr>
        <w:t>Insolvency Office Holders</w:t>
      </w:r>
      <w:r w:rsidRPr="002B05C5">
        <w:rPr>
          <w:rFonts w:ascii="Times New Roman" w:hAnsi="Times New Roman" w:cs="Times New Roman"/>
          <w:sz w:val="24"/>
          <w:szCs w:val="24"/>
          <w:lang w:val="en-GB"/>
        </w:rPr>
        <w:t>, its shareholders need to meet the requirements defined above. The same applies accordingly to legal persons established under foreign law.</w:t>
      </w:r>
    </w:p>
    <w:p w14:paraId="324DA9D9"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Qualifi</w:t>
      </w:r>
      <w:r w:rsidR="00DE138F" w:rsidRPr="002B05C5">
        <w:rPr>
          <w:rFonts w:ascii="Times New Roman" w:hAnsi="Times New Roman" w:cs="Times New Roman"/>
          <w:b/>
          <w:sz w:val="28"/>
          <w:szCs w:val="28"/>
          <w:lang w:val="en-GB"/>
        </w:rPr>
        <w:t>cation Training and Entry Into T</w:t>
      </w:r>
      <w:r w:rsidRPr="002B05C5">
        <w:rPr>
          <w:rFonts w:ascii="Times New Roman" w:hAnsi="Times New Roman" w:cs="Times New Roman"/>
          <w:b/>
          <w:sz w:val="28"/>
          <w:szCs w:val="28"/>
          <w:lang w:val="en-GB"/>
        </w:rPr>
        <w:t>he Profession</w:t>
      </w:r>
    </w:p>
    <w:p w14:paraId="324DA9DA" w14:textId="77777777" w:rsidR="006312E8" w:rsidRPr="002B05C5" w:rsidRDefault="006312E8"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9DB" w14:textId="77777777" w:rsidR="00DE138F"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The conditions </w:t>
      </w:r>
      <w:r w:rsidR="0077347C" w:rsidRPr="002B05C5">
        <w:rPr>
          <w:rFonts w:ascii="Times New Roman" w:hAnsi="Times New Roman" w:cs="Times New Roman"/>
          <w:sz w:val="24"/>
          <w:szCs w:val="24"/>
          <w:lang w:val="en-GB"/>
        </w:rPr>
        <w:t>required for</w:t>
      </w:r>
      <w:r w:rsidRPr="002B05C5">
        <w:rPr>
          <w:rFonts w:ascii="Times New Roman" w:hAnsi="Times New Roman" w:cs="Times New Roman"/>
          <w:sz w:val="24"/>
          <w:szCs w:val="24"/>
          <w:lang w:val="en-GB"/>
        </w:rPr>
        <w:t xml:space="preserve"> an IOH</w:t>
      </w:r>
      <w:r w:rsidR="0077347C" w:rsidRPr="002B05C5">
        <w:rPr>
          <w:rFonts w:ascii="Times New Roman" w:hAnsi="Times New Roman" w:cs="Times New Roman"/>
          <w:sz w:val="24"/>
          <w:szCs w:val="24"/>
          <w:lang w:val="en-GB"/>
        </w:rPr>
        <w:t xml:space="preserve"> to carry out the function</w:t>
      </w:r>
      <w:r w:rsidRPr="002B05C5">
        <w:rPr>
          <w:rFonts w:ascii="Times New Roman" w:hAnsi="Times New Roman" w:cs="Times New Roman"/>
          <w:sz w:val="24"/>
          <w:szCs w:val="24"/>
          <w:lang w:val="en-GB"/>
        </w:rPr>
        <w:t xml:space="preserve"> include </w:t>
      </w:r>
    </w:p>
    <w:p w14:paraId="324DA9DC" w14:textId="77777777" w:rsidR="00DE138F" w:rsidRPr="002B05C5" w:rsidRDefault="00DE138F" w:rsidP="00DE138F">
      <w:pPr>
        <w:pStyle w:val="Paragraphedeliste"/>
        <w:spacing w:after="0" w:line="360" w:lineRule="auto"/>
        <w:ind w:left="709"/>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w:t>
      </w:r>
      <w:proofErr w:type="spellStart"/>
      <w:r w:rsidRPr="002B05C5">
        <w:rPr>
          <w:rFonts w:ascii="Times New Roman" w:hAnsi="Times New Roman" w:cs="Times New Roman"/>
          <w:sz w:val="24"/>
          <w:szCs w:val="24"/>
          <w:lang w:val="en-GB"/>
        </w:rPr>
        <w:t>i</w:t>
      </w:r>
      <w:proofErr w:type="spellEnd"/>
      <w:r w:rsidR="004015FC" w:rsidRPr="002B05C5">
        <w:rPr>
          <w:rFonts w:ascii="Times New Roman" w:hAnsi="Times New Roman" w:cs="Times New Roman"/>
          <w:sz w:val="24"/>
          <w:szCs w:val="24"/>
          <w:lang w:val="en-GB"/>
        </w:rPr>
        <w:t xml:space="preserve">) a satisfactory university education in law or economy </w:t>
      </w:r>
    </w:p>
    <w:p w14:paraId="324DA9DD" w14:textId="77777777" w:rsidR="00DE138F" w:rsidRPr="002B05C5" w:rsidRDefault="004015FC" w:rsidP="00DE138F">
      <w:pPr>
        <w:pStyle w:val="Paragraphedeliste"/>
        <w:spacing w:after="0" w:line="360" w:lineRule="auto"/>
        <w:ind w:left="709"/>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w:t>
      </w:r>
      <w:r w:rsidR="00DE138F" w:rsidRPr="002B05C5">
        <w:rPr>
          <w:rFonts w:ascii="Times New Roman" w:hAnsi="Times New Roman" w:cs="Times New Roman"/>
          <w:sz w:val="24"/>
          <w:szCs w:val="24"/>
          <w:lang w:val="en-GB"/>
        </w:rPr>
        <w:t>ii</w:t>
      </w:r>
      <w:r w:rsidRPr="002B05C5">
        <w:rPr>
          <w:rFonts w:ascii="Times New Roman" w:hAnsi="Times New Roman" w:cs="Times New Roman"/>
          <w:sz w:val="24"/>
          <w:szCs w:val="24"/>
          <w:lang w:val="en-GB"/>
        </w:rPr>
        <w:t xml:space="preserve">) integrity and </w:t>
      </w:r>
    </w:p>
    <w:p w14:paraId="324DA9DE" w14:textId="77777777" w:rsidR="00DE138F" w:rsidRPr="002B05C5" w:rsidRDefault="00DE138F" w:rsidP="00DE138F">
      <w:pPr>
        <w:pStyle w:val="Paragraphedeliste"/>
        <w:spacing w:after="0" w:line="360" w:lineRule="auto"/>
        <w:ind w:left="709"/>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(iii</w:t>
      </w:r>
      <w:r w:rsidR="004015FC" w:rsidRPr="002B05C5">
        <w:rPr>
          <w:rFonts w:ascii="Times New Roman" w:hAnsi="Times New Roman" w:cs="Times New Roman"/>
          <w:sz w:val="24"/>
          <w:szCs w:val="24"/>
          <w:lang w:val="en-GB"/>
        </w:rPr>
        <w:t xml:space="preserve">) reliability. </w:t>
      </w:r>
    </w:p>
    <w:p w14:paraId="324DA9DF" w14:textId="77777777" w:rsidR="00DE138F" w:rsidRPr="002B05C5" w:rsidRDefault="00DE138F" w:rsidP="00DE138F">
      <w:pPr>
        <w:pStyle w:val="Paragraphedeliste"/>
        <w:spacing w:after="0" w:line="240" w:lineRule="auto"/>
        <w:ind w:left="709"/>
        <w:jc w:val="both"/>
        <w:rPr>
          <w:rFonts w:ascii="Times New Roman" w:hAnsi="Times New Roman" w:cs="Times New Roman"/>
          <w:sz w:val="24"/>
          <w:szCs w:val="24"/>
          <w:lang w:val="en-GB"/>
        </w:rPr>
      </w:pPr>
    </w:p>
    <w:p w14:paraId="324DA9E0"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In addition, a c</w:t>
      </w:r>
      <w:r w:rsidR="00D00702" w:rsidRPr="002B05C5">
        <w:rPr>
          <w:rFonts w:ascii="Times New Roman" w:hAnsi="Times New Roman" w:cs="Times New Roman"/>
          <w:sz w:val="24"/>
          <w:szCs w:val="24"/>
          <w:lang w:val="en-GB"/>
        </w:rPr>
        <w:t xml:space="preserve">andidate for an IOH </w:t>
      </w:r>
      <w:r w:rsidR="00DE138F" w:rsidRPr="002B05C5">
        <w:rPr>
          <w:rFonts w:ascii="Times New Roman" w:hAnsi="Times New Roman" w:cs="Times New Roman"/>
          <w:sz w:val="24"/>
          <w:szCs w:val="24"/>
          <w:lang w:val="en-GB"/>
        </w:rPr>
        <w:t xml:space="preserve">shall </w:t>
      </w:r>
      <w:r w:rsidR="00D00702" w:rsidRPr="002B05C5">
        <w:rPr>
          <w:rFonts w:ascii="Times New Roman" w:hAnsi="Times New Roman" w:cs="Times New Roman"/>
          <w:sz w:val="24"/>
          <w:szCs w:val="24"/>
          <w:lang w:val="en-GB"/>
        </w:rPr>
        <w:t>successfully pass the examination upon the completion of additional education presc</w:t>
      </w:r>
      <w:r w:rsidR="00DE138F" w:rsidRPr="002B05C5">
        <w:rPr>
          <w:rFonts w:ascii="Times New Roman" w:hAnsi="Times New Roman" w:cs="Times New Roman"/>
          <w:sz w:val="24"/>
          <w:szCs w:val="24"/>
          <w:lang w:val="en-GB"/>
        </w:rPr>
        <w:t>ribed by the Ministry:</w:t>
      </w:r>
    </w:p>
    <w:p w14:paraId="324DA9E1" w14:textId="77777777" w:rsidR="004015FC" w:rsidRPr="002B05C5" w:rsidRDefault="004015FC" w:rsidP="0027110D">
      <w:pPr>
        <w:spacing w:after="100" w:afterAutospacing="1"/>
        <w:ind w:left="708"/>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After successfully </w:t>
      </w:r>
      <w:r w:rsidR="0077347C" w:rsidRPr="002B05C5">
        <w:rPr>
          <w:rFonts w:ascii="Times New Roman" w:hAnsi="Times New Roman" w:cs="Times New Roman"/>
          <w:sz w:val="24"/>
          <w:szCs w:val="24"/>
          <w:lang w:val="en-GB"/>
        </w:rPr>
        <w:t>completing the</w:t>
      </w:r>
      <w:r w:rsidRPr="002B05C5">
        <w:rPr>
          <w:rFonts w:ascii="Times New Roman" w:hAnsi="Times New Roman" w:cs="Times New Roman"/>
          <w:sz w:val="24"/>
          <w:szCs w:val="24"/>
          <w:lang w:val="en-GB"/>
        </w:rPr>
        <w:t xml:space="preserve"> university education in law or economy, the </w:t>
      </w:r>
      <w:r w:rsidR="0077347C" w:rsidRPr="002B05C5">
        <w:rPr>
          <w:rFonts w:ascii="Times New Roman" w:hAnsi="Times New Roman" w:cs="Times New Roman"/>
          <w:sz w:val="24"/>
          <w:szCs w:val="24"/>
          <w:lang w:val="en-GB"/>
        </w:rPr>
        <w:t>candidate must undertake a professional preparatory training upon the conclusion of which an IO</w:t>
      </w:r>
      <w:r w:rsidR="002B05C5" w:rsidRPr="002B05C5">
        <w:rPr>
          <w:rFonts w:ascii="Times New Roman" w:hAnsi="Times New Roman" w:cs="Times New Roman"/>
          <w:sz w:val="24"/>
          <w:szCs w:val="24"/>
          <w:lang w:val="en-GB"/>
        </w:rPr>
        <w:t>H</w:t>
      </w:r>
      <w:r w:rsidR="0077347C" w:rsidRPr="002B05C5">
        <w:rPr>
          <w:rFonts w:ascii="Times New Roman" w:hAnsi="Times New Roman" w:cs="Times New Roman"/>
          <w:sz w:val="24"/>
          <w:szCs w:val="24"/>
          <w:lang w:val="en-GB"/>
        </w:rPr>
        <w:t xml:space="preserve"> examination needs to be passed by the candidate.</w:t>
      </w:r>
      <w:r w:rsidRPr="002B05C5">
        <w:rPr>
          <w:rFonts w:ascii="Times New Roman" w:hAnsi="Times New Roman" w:cs="Times New Roman"/>
          <w:sz w:val="24"/>
          <w:szCs w:val="24"/>
          <w:lang w:val="en-GB"/>
        </w:rPr>
        <w:t xml:space="preserve"> Professional preparatory training is provided by professionals in practice and in theory of law and economy, </w:t>
      </w:r>
      <w:r w:rsidR="00274A74" w:rsidRPr="002B05C5">
        <w:rPr>
          <w:rFonts w:ascii="Times New Roman" w:hAnsi="Times New Roman" w:cs="Times New Roman"/>
          <w:sz w:val="24"/>
          <w:szCs w:val="24"/>
          <w:lang w:val="en-GB"/>
        </w:rPr>
        <w:t xml:space="preserve">who are </w:t>
      </w:r>
      <w:r w:rsidRPr="002B05C5">
        <w:rPr>
          <w:rFonts w:ascii="Times New Roman" w:hAnsi="Times New Roman" w:cs="Times New Roman"/>
          <w:sz w:val="24"/>
          <w:szCs w:val="24"/>
          <w:lang w:val="en-GB"/>
        </w:rPr>
        <w:t>approved by the Ministry.</w:t>
      </w:r>
    </w:p>
    <w:p w14:paraId="324DA9E2" w14:textId="77777777" w:rsidR="004015FC" w:rsidRPr="002B05C5" w:rsidRDefault="004015FC" w:rsidP="0027110D">
      <w:pPr>
        <w:spacing w:after="100" w:afterAutospacing="1"/>
        <w:ind w:left="708"/>
        <w:jc w:val="both"/>
        <w:rPr>
          <w:rFonts w:ascii="Times New Roman" w:hAnsi="Times New Roman" w:cs="Times New Roman"/>
          <w:sz w:val="24"/>
          <w:szCs w:val="24"/>
          <w:u w:val="single"/>
          <w:lang w:val="en-GB"/>
        </w:rPr>
      </w:pPr>
      <w:r w:rsidRPr="002B05C5">
        <w:rPr>
          <w:rFonts w:ascii="Times New Roman" w:hAnsi="Times New Roman" w:cs="Times New Roman"/>
          <w:sz w:val="24"/>
          <w:szCs w:val="24"/>
          <w:u w:val="single"/>
          <w:lang w:val="en-GB"/>
        </w:rPr>
        <w:t>Examination</w:t>
      </w:r>
    </w:p>
    <w:p w14:paraId="324DA9E3" w14:textId="77777777" w:rsidR="004015FC" w:rsidRPr="002B05C5" w:rsidRDefault="004015FC" w:rsidP="0027110D">
      <w:pPr>
        <w:spacing w:after="100" w:afterAutospacing="1"/>
        <w:ind w:left="708"/>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Examination is divided into </w:t>
      </w:r>
      <w:r w:rsidR="00274A74" w:rsidRPr="002B05C5">
        <w:rPr>
          <w:rFonts w:ascii="Times New Roman" w:hAnsi="Times New Roman" w:cs="Times New Roman"/>
          <w:sz w:val="24"/>
          <w:szCs w:val="24"/>
          <w:lang w:val="en-GB"/>
        </w:rPr>
        <w:t xml:space="preserve">an </w:t>
      </w:r>
      <w:r w:rsidRPr="002B05C5">
        <w:rPr>
          <w:rFonts w:ascii="Times New Roman" w:hAnsi="Times New Roman" w:cs="Times New Roman"/>
          <w:sz w:val="24"/>
          <w:szCs w:val="24"/>
          <w:lang w:val="en-GB"/>
        </w:rPr>
        <w:t>oral and</w:t>
      </w:r>
      <w:r w:rsidR="00274A74" w:rsidRPr="002B05C5">
        <w:rPr>
          <w:rFonts w:ascii="Times New Roman" w:hAnsi="Times New Roman" w:cs="Times New Roman"/>
          <w:sz w:val="24"/>
          <w:szCs w:val="24"/>
          <w:lang w:val="en-GB"/>
        </w:rPr>
        <w:t xml:space="preserve"> a</w:t>
      </w:r>
      <w:r w:rsidRPr="002B05C5">
        <w:rPr>
          <w:rFonts w:ascii="Times New Roman" w:hAnsi="Times New Roman" w:cs="Times New Roman"/>
          <w:sz w:val="24"/>
          <w:szCs w:val="24"/>
          <w:lang w:val="en-GB"/>
        </w:rPr>
        <w:t xml:space="preserve"> written part. The written part consists of </w:t>
      </w:r>
      <w:r w:rsidR="00274A74" w:rsidRPr="002B05C5">
        <w:rPr>
          <w:rFonts w:ascii="Times New Roman" w:hAnsi="Times New Roman" w:cs="Times New Roman"/>
          <w:sz w:val="24"/>
          <w:szCs w:val="24"/>
          <w:lang w:val="en-GB"/>
        </w:rPr>
        <w:t xml:space="preserve">a </w:t>
      </w:r>
      <w:r w:rsidRPr="002B05C5">
        <w:rPr>
          <w:rFonts w:ascii="Times New Roman" w:hAnsi="Times New Roman" w:cs="Times New Roman"/>
          <w:sz w:val="24"/>
          <w:szCs w:val="24"/>
          <w:lang w:val="en-GB"/>
        </w:rPr>
        <w:t xml:space="preserve">written test and </w:t>
      </w:r>
      <w:r w:rsidR="00274A74" w:rsidRPr="002B05C5">
        <w:rPr>
          <w:rFonts w:ascii="Times New Roman" w:hAnsi="Times New Roman" w:cs="Times New Roman"/>
          <w:sz w:val="24"/>
          <w:szCs w:val="24"/>
          <w:lang w:val="en-GB"/>
        </w:rPr>
        <w:t xml:space="preserve">a </w:t>
      </w:r>
      <w:r w:rsidRPr="002B05C5">
        <w:rPr>
          <w:rFonts w:ascii="Times New Roman" w:hAnsi="Times New Roman" w:cs="Times New Roman"/>
          <w:sz w:val="24"/>
          <w:szCs w:val="24"/>
          <w:lang w:val="en-GB"/>
        </w:rPr>
        <w:t xml:space="preserve">written solution of a case study. The maximum </w:t>
      </w:r>
      <w:r w:rsidR="0037514F" w:rsidRPr="002B05C5">
        <w:rPr>
          <w:rFonts w:ascii="Times New Roman" w:hAnsi="Times New Roman" w:cs="Times New Roman"/>
          <w:sz w:val="24"/>
          <w:szCs w:val="24"/>
          <w:lang w:val="en-GB"/>
        </w:rPr>
        <w:t xml:space="preserve">of points that an applicant can achieve </w:t>
      </w:r>
      <w:r w:rsidRPr="002B05C5">
        <w:rPr>
          <w:rFonts w:ascii="Times New Roman" w:hAnsi="Times New Roman" w:cs="Times New Roman"/>
          <w:sz w:val="24"/>
          <w:szCs w:val="24"/>
          <w:lang w:val="en-GB"/>
        </w:rPr>
        <w:t xml:space="preserve">is 300 (case study is worth 180 points), whereby the participant must reach </w:t>
      </w:r>
      <w:r w:rsidR="00E43D84" w:rsidRPr="002B05C5">
        <w:rPr>
          <w:rFonts w:ascii="Times New Roman" w:hAnsi="Times New Roman" w:cs="Times New Roman"/>
          <w:sz w:val="24"/>
          <w:szCs w:val="24"/>
          <w:lang w:val="en-GB"/>
        </w:rPr>
        <w:t xml:space="preserve">at least </w:t>
      </w:r>
      <w:r w:rsidRPr="002B05C5">
        <w:rPr>
          <w:rFonts w:ascii="Times New Roman" w:hAnsi="Times New Roman" w:cs="Times New Roman"/>
          <w:sz w:val="24"/>
          <w:szCs w:val="24"/>
          <w:lang w:val="en-GB"/>
        </w:rPr>
        <w:t>210 points in order to pass the exam.</w:t>
      </w:r>
    </w:p>
    <w:p w14:paraId="324DA9E4" w14:textId="77777777" w:rsidR="004015FC" w:rsidRPr="002B05C5" w:rsidRDefault="00274A74" w:rsidP="0027110D">
      <w:pPr>
        <w:spacing w:after="100" w:afterAutospacing="1"/>
        <w:ind w:left="708"/>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The o</w:t>
      </w:r>
      <w:r w:rsidR="004015FC" w:rsidRPr="002B05C5">
        <w:rPr>
          <w:rFonts w:ascii="Times New Roman" w:hAnsi="Times New Roman" w:cs="Times New Roman"/>
          <w:sz w:val="24"/>
          <w:szCs w:val="24"/>
          <w:lang w:val="en-GB"/>
        </w:rPr>
        <w:t xml:space="preserve">ral exam </w:t>
      </w:r>
      <w:r w:rsidRPr="002B05C5">
        <w:rPr>
          <w:rFonts w:ascii="Times New Roman" w:hAnsi="Times New Roman" w:cs="Times New Roman"/>
          <w:sz w:val="24"/>
          <w:szCs w:val="24"/>
          <w:lang w:val="en-GB"/>
        </w:rPr>
        <w:t>consists of 2 questions,</w:t>
      </w:r>
      <w:r w:rsidR="004015FC" w:rsidRPr="002B05C5">
        <w:rPr>
          <w:rFonts w:ascii="Times New Roman" w:hAnsi="Times New Roman" w:cs="Times New Roman"/>
          <w:sz w:val="24"/>
          <w:szCs w:val="24"/>
          <w:lang w:val="en-GB"/>
        </w:rPr>
        <w:t xml:space="preserve"> 1 from law and 1 from economy</w:t>
      </w:r>
      <w:r w:rsidRPr="002B05C5">
        <w:rPr>
          <w:rFonts w:ascii="Times New Roman" w:hAnsi="Times New Roman" w:cs="Times New Roman"/>
          <w:sz w:val="24"/>
          <w:szCs w:val="24"/>
          <w:lang w:val="en-GB"/>
        </w:rPr>
        <w:t xml:space="preserve">. </w:t>
      </w:r>
      <w:r w:rsidR="004015FC" w:rsidRPr="002B05C5">
        <w:rPr>
          <w:rFonts w:ascii="Times New Roman" w:hAnsi="Times New Roman" w:cs="Times New Roman"/>
          <w:sz w:val="24"/>
          <w:szCs w:val="24"/>
          <w:lang w:val="en-GB"/>
        </w:rPr>
        <w:t>T</w:t>
      </w:r>
      <w:r w:rsidR="00E43D84" w:rsidRPr="002B05C5">
        <w:rPr>
          <w:rFonts w:ascii="Times New Roman" w:hAnsi="Times New Roman" w:cs="Times New Roman"/>
          <w:sz w:val="24"/>
          <w:szCs w:val="24"/>
          <w:lang w:val="en-GB"/>
        </w:rPr>
        <w:t>he t</w:t>
      </w:r>
      <w:r w:rsidR="004015FC" w:rsidRPr="002B05C5">
        <w:rPr>
          <w:rFonts w:ascii="Times New Roman" w:hAnsi="Times New Roman" w:cs="Times New Roman"/>
          <w:sz w:val="24"/>
          <w:szCs w:val="24"/>
          <w:lang w:val="en-GB"/>
        </w:rPr>
        <w:t xml:space="preserve">est </w:t>
      </w:r>
      <w:r w:rsidRPr="002B05C5">
        <w:rPr>
          <w:rFonts w:ascii="Times New Roman" w:hAnsi="Times New Roman" w:cs="Times New Roman"/>
          <w:sz w:val="24"/>
          <w:szCs w:val="24"/>
          <w:lang w:val="en-GB"/>
        </w:rPr>
        <w:t>contains</w:t>
      </w:r>
      <w:r w:rsidR="004015FC" w:rsidRPr="002B05C5">
        <w:rPr>
          <w:rFonts w:ascii="Times New Roman" w:hAnsi="Times New Roman" w:cs="Times New Roman"/>
          <w:sz w:val="24"/>
          <w:szCs w:val="24"/>
          <w:lang w:val="en-GB"/>
        </w:rPr>
        <w:t xml:space="preserve"> 60 questions from law and economy</w:t>
      </w:r>
      <w:r w:rsidRPr="002B05C5">
        <w:rPr>
          <w:rFonts w:ascii="Times New Roman" w:hAnsi="Times New Roman" w:cs="Times New Roman"/>
          <w:sz w:val="24"/>
          <w:szCs w:val="24"/>
          <w:lang w:val="en-GB"/>
        </w:rPr>
        <w:t>. In a case study,</w:t>
      </w:r>
      <w:r w:rsidR="004015FC" w:rsidRPr="002B05C5">
        <w:rPr>
          <w:rFonts w:ascii="Times New Roman" w:hAnsi="Times New Roman" w:cs="Times New Roman"/>
          <w:sz w:val="24"/>
          <w:szCs w:val="24"/>
          <w:lang w:val="en-GB"/>
        </w:rPr>
        <w:t xml:space="preserve"> the participant must suggest a solution </w:t>
      </w:r>
      <w:r w:rsidRPr="002B05C5">
        <w:rPr>
          <w:rFonts w:ascii="Times New Roman" w:hAnsi="Times New Roman" w:cs="Times New Roman"/>
          <w:sz w:val="24"/>
          <w:szCs w:val="24"/>
          <w:lang w:val="en-GB"/>
        </w:rPr>
        <w:t>to</w:t>
      </w:r>
      <w:r w:rsidR="004015FC" w:rsidRPr="002B05C5">
        <w:rPr>
          <w:rFonts w:ascii="Times New Roman" w:hAnsi="Times New Roman" w:cs="Times New Roman"/>
          <w:sz w:val="24"/>
          <w:szCs w:val="24"/>
          <w:lang w:val="en-GB"/>
        </w:rPr>
        <w:t xml:space="preserve"> the described hypothetical or real situation; use of legal statutes is allowed.</w:t>
      </w:r>
      <w:r w:rsidR="001F36E9" w:rsidRPr="002B05C5">
        <w:rPr>
          <w:rFonts w:ascii="Times New Roman" w:hAnsi="Times New Roman" w:cs="Times New Roman"/>
          <w:sz w:val="24"/>
          <w:szCs w:val="24"/>
          <w:lang w:val="en-GB"/>
        </w:rPr>
        <w:t xml:space="preserve"> Statistics on the success rate of the applicants is not publicly available.</w:t>
      </w:r>
    </w:p>
    <w:p w14:paraId="324DA9E5"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Professional Bodies</w:t>
      </w:r>
    </w:p>
    <w:p w14:paraId="324DA9E6" w14:textId="77777777" w:rsidR="00274A74" w:rsidRPr="002B05C5" w:rsidRDefault="00274A74"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9E7" w14:textId="77777777" w:rsidR="0089490B" w:rsidRPr="002B05C5" w:rsidRDefault="0046346E" w:rsidP="000A3D14">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IOHs</w:t>
      </w:r>
      <w:r w:rsidR="008C3222" w:rsidRPr="002B05C5">
        <w:rPr>
          <w:rFonts w:ascii="Times New Roman" w:hAnsi="Times New Roman" w:cs="Times New Roman"/>
          <w:sz w:val="24"/>
          <w:szCs w:val="24"/>
          <w:lang w:val="en-GB"/>
        </w:rPr>
        <w:t xml:space="preserve"> </w:t>
      </w:r>
      <w:r w:rsidR="008941B6" w:rsidRPr="002B05C5">
        <w:rPr>
          <w:rFonts w:ascii="Times New Roman" w:hAnsi="Times New Roman" w:cs="Times New Roman"/>
          <w:sz w:val="24"/>
          <w:szCs w:val="24"/>
          <w:lang w:val="en-GB"/>
        </w:rPr>
        <w:t xml:space="preserve">in Slovakia </w:t>
      </w:r>
      <w:r w:rsidR="00BB2331" w:rsidRPr="002B05C5">
        <w:rPr>
          <w:rFonts w:ascii="Times New Roman" w:hAnsi="Times New Roman" w:cs="Times New Roman"/>
          <w:sz w:val="24"/>
          <w:szCs w:val="24"/>
          <w:lang w:val="en-GB"/>
        </w:rPr>
        <w:t>may</w:t>
      </w:r>
      <w:r w:rsidR="008941B6" w:rsidRPr="002B05C5">
        <w:rPr>
          <w:rFonts w:ascii="Times New Roman" w:hAnsi="Times New Roman" w:cs="Times New Roman"/>
          <w:sz w:val="24"/>
          <w:szCs w:val="24"/>
          <w:lang w:val="en-GB"/>
        </w:rPr>
        <w:t xml:space="preserve"> become members of the</w:t>
      </w:r>
      <w:r w:rsidR="004015FC" w:rsidRPr="002B05C5">
        <w:rPr>
          <w:rFonts w:ascii="Times New Roman" w:hAnsi="Times New Roman" w:cs="Times New Roman"/>
          <w:sz w:val="24"/>
          <w:szCs w:val="24"/>
          <w:lang w:val="en-GB"/>
        </w:rPr>
        <w:t xml:space="preserve"> Association of Insolvency </w:t>
      </w:r>
      <w:r w:rsidR="008941B6" w:rsidRPr="002B05C5">
        <w:rPr>
          <w:rFonts w:ascii="Times New Roman" w:hAnsi="Times New Roman" w:cs="Times New Roman"/>
          <w:sz w:val="24"/>
          <w:szCs w:val="24"/>
          <w:lang w:val="en-GB"/>
        </w:rPr>
        <w:t>Office Holders in</w:t>
      </w:r>
      <w:r w:rsidR="004015FC" w:rsidRPr="002B05C5">
        <w:rPr>
          <w:rFonts w:ascii="Times New Roman" w:hAnsi="Times New Roman" w:cs="Times New Roman"/>
          <w:sz w:val="24"/>
          <w:szCs w:val="24"/>
          <w:lang w:val="en-GB"/>
        </w:rPr>
        <w:t xml:space="preserve"> the Slovak Republic (</w:t>
      </w:r>
      <w:r w:rsidR="002D4B0D" w:rsidRPr="002B05C5">
        <w:rPr>
          <w:rFonts w:ascii="Times New Roman" w:hAnsi="Times New Roman" w:cs="Times New Roman"/>
          <w:sz w:val="24"/>
          <w:szCs w:val="24"/>
          <w:lang w:val="en-GB"/>
        </w:rPr>
        <w:t>i</w:t>
      </w:r>
      <w:r w:rsidR="00BB2331" w:rsidRPr="002B05C5">
        <w:rPr>
          <w:rFonts w:ascii="Times New Roman" w:hAnsi="Times New Roman" w:cs="Times New Roman"/>
          <w:sz w:val="24"/>
          <w:szCs w:val="24"/>
          <w:lang w:val="en-GB"/>
        </w:rPr>
        <w:t xml:space="preserve">n Slovak: </w:t>
      </w:r>
      <w:proofErr w:type="spellStart"/>
      <w:r w:rsidR="004015FC" w:rsidRPr="002B05C5">
        <w:rPr>
          <w:rFonts w:ascii="Times New Roman" w:hAnsi="Times New Roman" w:cs="Times New Roman"/>
          <w:i/>
          <w:sz w:val="24"/>
          <w:szCs w:val="24"/>
          <w:lang w:val="en-GB"/>
        </w:rPr>
        <w:t>Združenie</w:t>
      </w:r>
      <w:proofErr w:type="spellEnd"/>
      <w:r w:rsidR="004015FC" w:rsidRPr="002B05C5">
        <w:rPr>
          <w:rFonts w:ascii="Times New Roman" w:hAnsi="Times New Roman" w:cs="Times New Roman"/>
          <w:i/>
          <w:sz w:val="24"/>
          <w:szCs w:val="24"/>
          <w:lang w:val="en-GB"/>
        </w:rPr>
        <w:t xml:space="preserve"> </w:t>
      </w:r>
      <w:proofErr w:type="spellStart"/>
      <w:r w:rsidR="004015FC" w:rsidRPr="002B05C5">
        <w:rPr>
          <w:rFonts w:ascii="Times New Roman" w:hAnsi="Times New Roman" w:cs="Times New Roman"/>
          <w:i/>
          <w:sz w:val="24"/>
          <w:szCs w:val="24"/>
          <w:lang w:val="en-GB"/>
        </w:rPr>
        <w:t>konkurzných</w:t>
      </w:r>
      <w:proofErr w:type="spellEnd"/>
      <w:r w:rsidR="004015FC" w:rsidRPr="002B05C5">
        <w:rPr>
          <w:rFonts w:ascii="Times New Roman" w:hAnsi="Times New Roman" w:cs="Times New Roman"/>
          <w:i/>
          <w:sz w:val="24"/>
          <w:szCs w:val="24"/>
          <w:lang w:val="en-GB"/>
        </w:rPr>
        <w:t xml:space="preserve"> </w:t>
      </w:r>
      <w:proofErr w:type="spellStart"/>
      <w:r w:rsidR="004015FC" w:rsidRPr="002B05C5">
        <w:rPr>
          <w:rFonts w:ascii="Times New Roman" w:hAnsi="Times New Roman" w:cs="Times New Roman"/>
          <w:i/>
          <w:sz w:val="24"/>
          <w:szCs w:val="24"/>
          <w:lang w:val="en-GB"/>
        </w:rPr>
        <w:t>správcov</w:t>
      </w:r>
      <w:proofErr w:type="spellEnd"/>
      <w:r w:rsidR="004015FC" w:rsidRPr="002B05C5">
        <w:rPr>
          <w:rFonts w:ascii="Times New Roman" w:hAnsi="Times New Roman" w:cs="Times New Roman"/>
          <w:i/>
          <w:sz w:val="24"/>
          <w:szCs w:val="24"/>
          <w:lang w:val="en-GB"/>
        </w:rPr>
        <w:t xml:space="preserve"> </w:t>
      </w:r>
      <w:proofErr w:type="spellStart"/>
      <w:r w:rsidR="004015FC" w:rsidRPr="002B05C5">
        <w:rPr>
          <w:rFonts w:ascii="Times New Roman" w:hAnsi="Times New Roman" w:cs="Times New Roman"/>
          <w:i/>
          <w:sz w:val="24"/>
          <w:szCs w:val="24"/>
          <w:lang w:val="en-GB"/>
        </w:rPr>
        <w:t>Slovenskej</w:t>
      </w:r>
      <w:proofErr w:type="spellEnd"/>
      <w:r w:rsidR="004015FC" w:rsidRPr="002B05C5">
        <w:rPr>
          <w:rFonts w:ascii="Times New Roman" w:hAnsi="Times New Roman" w:cs="Times New Roman"/>
          <w:i/>
          <w:sz w:val="24"/>
          <w:szCs w:val="24"/>
          <w:lang w:val="en-GB"/>
        </w:rPr>
        <w:t xml:space="preserve"> </w:t>
      </w:r>
      <w:proofErr w:type="spellStart"/>
      <w:r w:rsidR="004015FC" w:rsidRPr="002B05C5">
        <w:rPr>
          <w:rFonts w:ascii="Times New Roman" w:hAnsi="Times New Roman" w:cs="Times New Roman"/>
          <w:i/>
          <w:sz w:val="24"/>
          <w:szCs w:val="24"/>
          <w:lang w:val="en-GB"/>
        </w:rPr>
        <w:t>republiky</w:t>
      </w:r>
      <w:proofErr w:type="spellEnd"/>
      <w:r w:rsidR="004015FC"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xml:space="preserve">. </w:t>
      </w:r>
    </w:p>
    <w:p w14:paraId="324DA9E8" w14:textId="77777777" w:rsidR="00425885" w:rsidRPr="002B05C5" w:rsidRDefault="0046346E" w:rsidP="000A3D14">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Membership in the Association is voluntary and possible upon the payment of an entry fee. Pursuant to the Act. No. 83/1990 Coll. on the Association of Citizens, the Association is registered in the relevant register of the Ministry of Internal Affairs of the Slovak Republic. </w:t>
      </w:r>
    </w:p>
    <w:p w14:paraId="324DA9E9"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lastRenderedPageBreak/>
        <w:t>Cont</w:t>
      </w:r>
      <w:r w:rsidR="00CE027F" w:rsidRPr="002B05C5">
        <w:rPr>
          <w:rFonts w:ascii="Times New Roman" w:hAnsi="Times New Roman" w:cs="Times New Roman"/>
          <w:b/>
          <w:sz w:val="28"/>
          <w:szCs w:val="28"/>
          <w:lang w:val="en-GB"/>
        </w:rPr>
        <w:t>inuing Professional Education</w:t>
      </w:r>
    </w:p>
    <w:p w14:paraId="324DA9EA" w14:textId="77777777" w:rsidR="00A667B0" w:rsidRPr="002B05C5" w:rsidRDefault="00A667B0" w:rsidP="0027110D">
      <w:pPr>
        <w:pStyle w:val="Paragraphedeliste"/>
        <w:spacing w:after="100" w:afterAutospacing="1"/>
        <w:ind w:left="720"/>
        <w:contextualSpacing/>
        <w:jc w:val="both"/>
        <w:rPr>
          <w:rFonts w:ascii="Times New Roman" w:hAnsi="Times New Roman" w:cs="Times New Roman"/>
          <w:sz w:val="24"/>
          <w:szCs w:val="24"/>
          <w:lang w:val="en-GB"/>
        </w:rPr>
      </w:pPr>
    </w:p>
    <w:p w14:paraId="324DA9EB" w14:textId="77777777" w:rsidR="000A3D14" w:rsidRPr="002B05C5" w:rsidRDefault="000A3D14"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IOHs</w:t>
      </w:r>
      <w:r w:rsidR="004015FC" w:rsidRPr="002B05C5">
        <w:rPr>
          <w:rFonts w:ascii="Times New Roman" w:hAnsi="Times New Roman" w:cs="Times New Roman"/>
          <w:sz w:val="24"/>
          <w:szCs w:val="24"/>
          <w:lang w:val="en-GB"/>
        </w:rPr>
        <w:t xml:space="preserve"> </w:t>
      </w:r>
      <w:r w:rsidR="00CE027F" w:rsidRPr="002B05C5">
        <w:rPr>
          <w:rFonts w:ascii="Times New Roman" w:hAnsi="Times New Roman" w:cs="Times New Roman"/>
          <w:sz w:val="24"/>
          <w:szCs w:val="24"/>
          <w:lang w:val="en-GB"/>
        </w:rPr>
        <w:t>are</w:t>
      </w:r>
      <w:r w:rsidR="004015FC" w:rsidRPr="002B05C5">
        <w:rPr>
          <w:rFonts w:ascii="Times New Roman" w:hAnsi="Times New Roman" w:cs="Times New Roman"/>
          <w:sz w:val="24"/>
          <w:szCs w:val="24"/>
          <w:lang w:val="en-GB"/>
        </w:rPr>
        <w:t xml:space="preserve"> obliged to regularly deepen and extend </w:t>
      </w:r>
      <w:r w:rsidR="00CE027F" w:rsidRPr="002B05C5">
        <w:rPr>
          <w:rFonts w:ascii="Times New Roman" w:hAnsi="Times New Roman" w:cs="Times New Roman"/>
          <w:sz w:val="24"/>
          <w:szCs w:val="24"/>
          <w:lang w:val="en-GB"/>
        </w:rPr>
        <w:t>their</w:t>
      </w:r>
      <w:r w:rsidR="004015FC" w:rsidRPr="002B05C5">
        <w:rPr>
          <w:rFonts w:ascii="Times New Roman" w:hAnsi="Times New Roman" w:cs="Times New Roman"/>
          <w:sz w:val="24"/>
          <w:szCs w:val="24"/>
          <w:lang w:val="en-GB"/>
        </w:rPr>
        <w:t xml:space="preserve"> knowled</w:t>
      </w:r>
      <w:r w:rsidR="00CE027F" w:rsidRPr="002B05C5">
        <w:rPr>
          <w:rFonts w:ascii="Times New Roman" w:hAnsi="Times New Roman" w:cs="Times New Roman"/>
          <w:sz w:val="24"/>
          <w:szCs w:val="24"/>
          <w:lang w:val="en-GB"/>
        </w:rPr>
        <w:t>ge and expertise necessary for performing properly all activities of an</w:t>
      </w:r>
      <w:r w:rsidR="004015FC" w:rsidRPr="002B05C5">
        <w:rPr>
          <w:rFonts w:ascii="Times New Roman" w:hAnsi="Times New Roman" w:cs="Times New Roman"/>
          <w:sz w:val="24"/>
          <w:szCs w:val="24"/>
          <w:lang w:val="en-GB"/>
        </w:rPr>
        <w:t xml:space="preserve"> IOH, especially with regard to the changes and development in</w:t>
      </w:r>
      <w:r w:rsidR="00BB2331" w:rsidRPr="002B05C5">
        <w:rPr>
          <w:rFonts w:ascii="Times New Roman" w:hAnsi="Times New Roman" w:cs="Times New Roman"/>
          <w:sz w:val="24"/>
          <w:szCs w:val="24"/>
          <w:lang w:val="en-GB"/>
        </w:rPr>
        <w:t xml:space="preserve"> the</w:t>
      </w:r>
      <w:r w:rsidR="004015FC" w:rsidRPr="002B05C5">
        <w:rPr>
          <w:rFonts w:ascii="Times New Roman" w:hAnsi="Times New Roman" w:cs="Times New Roman"/>
          <w:sz w:val="24"/>
          <w:szCs w:val="24"/>
          <w:lang w:val="en-GB"/>
        </w:rPr>
        <w:t xml:space="preserve"> area of administration of insolvent entities.</w:t>
      </w:r>
      <w:r w:rsidR="00F23468" w:rsidRPr="002B05C5">
        <w:rPr>
          <w:rFonts w:ascii="Times New Roman" w:hAnsi="Times New Roman" w:cs="Times New Roman"/>
          <w:sz w:val="24"/>
          <w:szCs w:val="24"/>
          <w:lang w:val="en-GB"/>
        </w:rPr>
        <w:t xml:space="preserve"> </w:t>
      </w:r>
    </w:p>
    <w:p w14:paraId="324DA9EC"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C</w:t>
      </w:r>
      <w:r w:rsidR="00CE027F" w:rsidRPr="002B05C5">
        <w:rPr>
          <w:rFonts w:ascii="Times New Roman" w:hAnsi="Times New Roman" w:cs="Times New Roman"/>
          <w:sz w:val="24"/>
          <w:szCs w:val="24"/>
          <w:lang w:val="en-GB"/>
        </w:rPr>
        <w:t>ontinuing professional education (“CPE”)</w:t>
      </w:r>
      <w:r w:rsidRPr="002B05C5">
        <w:rPr>
          <w:rFonts w:ascii="Times New Roman" w:hAnsi="Times New Roman" w:cs="Times New Roman"/>
          <w:sz w:val="24"/>
          <w:szCs w:val="24"/>
          <w:lang w:val="en-GB"/>
        </w:rPr>
        <w:t xml:space="preserve"> includes participation </w:t>
      </w:r>
      <w:r w:rsidR="00CE027F" w:rsidRPr="002B05C5">
        <w:rPr>
          <w:rFonts w:ascii="Times New Roman" w:hAnsi="Times New Roman" w:cs="Times New Roman"/>
          <w:sz w:val="24"/>
          <w:szCs w:val="24"/>
          <w:lang w:val="en-GB"/>
        </w:rPr>
        <w:t>in</w:t>
      </w:r>
      <w:r w:rsidRPr="002B05C5">
        <w:rPr>
          <w:rFonts w:ascii="Times New Roman" w:hAnsi="Times New Roman" w:cs="Times New Roman"/>
          <w:sz w:val="24"/>
          <w:szCs w:val="24"/>
          <w:lang w:val="en-GB"/>
        </w:rPr>
        <w:t xml:space="preserve"> lectures, seminars, scientific conferences, as well as involvement in publishing, lecturing, self-study </w:t>
      </w:r>
      <w:r w:rsidR="00CE027F" w:rsidRPr="002B05C5">
        <w:rPr>
          <w:rFonts w:ascii="Times New Roman" w:hAnsi="Times New Roman" w:cs="Times New Roman"/>
          <w:sz w:val="24"/>
          <w:szCs w:val="24"/>
          <w:lang w:val="en-GB"/>
        </w:rPr>
        <w:t xml:space="preserve">activities </w:t>
      </w:r>
      <w:r w:rsidRPr="002B05C5">
        <w:rPr>
          <w:rFonts w:ascii="Times New Roman" w:hAnsi="Times New Roman" w:cs="Times New Roman"/>
          <w:sz w:val="24"/>
          <w:szCs w:val="24"/>
          <w:lang w:val="en-GB"/>
        </w:rPr>
        <w:t xml:space="preserve">and practical performance of </w:t>
      </w:r>
      <w:r w:rsidR="00CE027F" w:rsidRPr="002B05C5">
        <w:rPr>
          <w:rFonts w:ascii="Times New Roman" w:hAnsi="Times New Roman" w:cs="Times New Roman"/>
          <w:sz w:val="24"/>
          <w:szCs w:val="24"/>
          <w:lang w:val="en-GB"/>
        </w:rPr>
        <w:t xml:space="preserve">an </w:t>
      </w:r>
      <w:r w:rsidRPr="002B05C5">
        <w:rPr>
          <w:rFonts w:ascii="Times New Roman" w:hAnsi="Times New Roman" w:cs="Times New Roman"/>
          <w:sz w:val="24"/>
          <w:szCs w:val="24"/>
          <w:lang w:val="en-GB"/>
        </w:rPr>
        <w:t>IOH activity.</w:t>
      </w:r>
    </w:p>
    <w:p w14:paraId="324DA9ED"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IOH</w:t>
      </w:r>
      <w:r w:rsidR="000647FC" w:rsidRPr="002B05C5">
        <w:rPr>
          <w:rFonts w:ascii="Times New Roman" w:hAnsi="Times New Roman" w:cs="Times New Roman"/>
          <w:sz w:val="24"/>
          <w:szCs w:val="24"/>
          <w:lang w:val="en-GB"/>
        </w:rPr>
        <w:t>s</w:t>
      </w:r>
      <w:r w:rsidRPr="002B05C5">
        <w:rPr>
          <w:rFonts w:ascii="Times New Roman" w:hAnsi="Times New Roman" w:cs="Times New Roman"/>
          <w:sz w:val="24"/>
          <w:szCs w:val="24"/>
          <w:lang w:val="en-GB"/>
        </w:rPr>
        <w:t xml:space="preserve"> prove </w:t>
      </w:r>
      <w:r w:rsidR="000647FC" w:rsidRPr="002B05C5">
        <w:rPr>
          <w:rFonts w:ascii="Times New Roman" w:hAnsi="Times New Roman" w:cs="Times New Roman"/>
          <w:sz w:val="24"/>
          <w:szCs w:val="24"/>
          <w:lang w:val="en-GB"/>
        </w:rPr>
        <w:t>their</w:t>
      </w:r>
      <w:r w:rsidRPr="002B05C5">
        <w:rPr>
          <w:rFonts w:ascii="Times New Roman" w:hAnsi="Times New Roman" w:cs="Times New Roman"/>
          <w:sz w:val="24"/>
          <w:szCs w:val="24"/>
          <w:lang w:val="en-GB"/>
        </w:rPr>
        <w:t xml:space="preserve"> proper performance of CPE by credit points</w:t>
      </w:r>
      <w:r w:rsidR="000647FC" w:rsidRPr="002B05C5">
        <w:rPr>
          <w:rFonts w:ascii="Times New Roman" w:hAnsi="Times New Roman" w:cs="Times New Roman"/>
          <w:sz w:val="24"/>
          <w:szCs w:val="24"/>
          <w:lang w:val="en-GB"/>
        </w:rPr>
        <w:t xml:space="preserve"> they gained</w:t>
      </w:r>
      <w:r w:rsidRPr="002B05C5">
        <w:rPr>
          <w:rFonts w:ascii="Times New Roman" w:hAnsi="Times New Roman" w:cs="Times New Roman"/>
          <w:sz w:val="24"/>
          <w:szCs w:val="24"/>
          <w:lang w:val="en-GB"/>
        </w:rPr>
        <w:t>. The Ministry evaluates the</w:t>
      </w:r>
      <w:r w:rsidR="00DA7962" w:rsidRPr="002B05C5">
        <w:rPr>
          <w:rFonts w:ascii="Times New Roman" w:hAnsi="Times New Roman" w:cs="Times New Roman"/>
          <w:sz w:val="24"/>
          <w:szCs w:val="24"/>
          <w:lang w:val="en-GB"/>
        </w:rPr>
        <w:t xml:space="preserve"> performance of</w:t>
      </w:r>
      <w:r w:rsidRPr="002B05C5">
        <w:rPr>
          <w:rFonts w:ascii="Times New Roman" w:hAnsi="Times New Roman" w:cs="Times New Roman"/>
          <w:sz w:val="24"/>
          <w:szCs w:val="24"/>
          <w:lang w:val="en-GB"/>
        </w:rPr>
        <w:t xml:space="preserve"> </w:t>
      </w:r>
      <w:r w:rsidR="000647FC" w:rsidRPr="002B05C5">
        <w:rPr>
          <w:rFonts w:ascii="Times New Roman" w:hAnsi="Times New Roman" w:cs="Times New Roman"/>
          <w:sz w:val="24"/>
          <w:szCs w:val="24"/>
          <w:lang w:val="en-GB"/>
        </w:rPr>
        <w:t>CPE</w:t>
      </w:r>
      <w:r w:rsidR="00DA7962" w:rsidRPr="002B05C5">
        <w:rPr>
          <w:rFonts w:ascii="Times New Roman" w:hAnsi="Times New Roman" w:cs="Times New Roman"/>
          <w:sz w:val="24"/>
          <w:szCs w:val="24"/>
          <w:lang w:val="en-GB"/>
        </w:rPr>
        <w:t xml:space="preserve"> every other year</w:t>
      </w:r>
      <w:r w:rsidR="000647FC" w:rsidRPr="002B05C5">
        <w:rPr>
          <w:rFonts w:ascii="Times New Roman" w:hAnsi="Times New Roman" w:cs="Times New Roman"/>
          <w:sz w:val="24"/>
          <w:szCs w:val="24"/>
          <w:lang w:val="en-GB"/>
        </w:rPr>
        <w:t>. I</w:t>
      </w:r>
      <w:r w:rsidRPr="002B05C5">
        <w:rPr>
          <w:rFonts w:ascii="Times New Roman" w:hAnsi="Times New Roman" w:cs="Times New Roman"/>
          <w:sz w:val="24"/>
          <w:szCs w:val="24"/>
          <w:lang w:val="en-GB"/>
        </w:rPr>
        <w:t>f the IOH does not gain the required number of credit points during the evaluation period, the Ministry orders a re-examination of the IOH.</w:t>
      </w:r>
    </w:p>
    <w:p w14:paraId="324DA9EE"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The Ministry is allowed to order a re-examination of all IOHs in </w:t>
      </w:r>
      <w:r w:rsidR="000647FC" w:rsidRPr="002B05C5">
        <w:rPr>
          <w:rFonts w:ascii="Times New Roman" w:hAnsi="Times New Roman" w:cs="Times New Roman"/>
          <w:sz w:val="24"/>
          <w:szCs w:val="24"/>
          <w:lang w:val="en-GB"/>
        </w:rPr>
        <w:t>the event</w:t>
      </w:r>
      <w:r w:rsidRPr="002B05C5">
        <w:rPr>
          <w:rFonts w:ascii="Times New Roman" w:hAnsi="Times New Roman" w:cs="Times New Roman"/>
          <w:sz w:val="24"/>
          <w:szCs w:val="24"/>
          <w:lang w:val="en-GB"/>
        </w:rPr>
        <w:t xml:space="preserve"> of </w:t>
      </w:r>
      <w:r w:rsidR="000647FC" w:rsidRPr="002B05C5">
        <w:rPr>
          <w:rFonts w:ascii="Times New Roman" w:hAnsi="Times New Roman" w:cs="Times New Roman"/>
          <w:sz w:val="24"/>
          <w:szCs w:val="24"/>
          <w:lang w:val="en-GB"/>
        </w:rPr>
        <w:t xml:space="preserve">a </w:t>
      </w:r>
      <w:r w:rsidRPr="002B05C5">
        <w:rPr>
          <w:rFonts w:ascii="Times New Roman" w:hAnsi="Times New Roman" w:cs="Times New Roman"/>
          <w:sz w:val="24"/>
          <w:szCs w:val="24"/>
          <w:lang w:val="en-GB"/>
        </w:rPr>
        <w:t xml:space="preserve">fundamental change of legislation in </w:t>
      </w:r>
      <w:r w:rsidR="000647FC" w:rsidRPr="002B05C5">
        <w:rPr>
          <w:rFonts w:ascii="Times New Roman" w:hAnsi="Times New Roman" w:cs="Times New Roman"/>
          <w:sz w:val="24"/>
          <w:szCs w:val="24"/>
          <w:lang w:val="en-GB"/>
        </w:rPr>
        <w:t>the area</w:t>
      </w:r>
      <w:r w:rsidRPr="002B05C5">
        <w:rPr>
          <w:rFonts w:ascii="Times New Roman" w:hAnsi="Times New Roman" w:cs="Times New Roman"/>
          <w:sz w:val="24"/>
          <w:szCs w:val="24"/>
          <w:lang w:val="en-GB"/>
        </w:rPr>
        <w:t xml:space="preserve"> </w:t>
      </w:r>
      <w:r w:rsidR="000647FC" w:rsidRPr="002B05C5">
        <w:rPr>
          <w:rFonts w:ascii="Times New Roman" w:hAnsi="Times New Roman" w:cs="Times New Roman"/>
          <w:sz w:val="24"/>
          <w:szCs w:val="24"/>
          <w:lang w:val="en-GB"/>
        </w:rPr>
        <w:t>of</w:t>
      </w:r>
      <w:r w:rsidRPr="002B05C5">
        <w:rPr>
          <w:rFonts w:ascii="Times New Roman" w:hAnsi="Times New Roman" w:cs="Times New Roman"/>
          <w:sz w:val="24"/>
          <w:szCs w:val="24"/>
          <w:lang w:val="en-GB"/>
        </w:rPr>
        <w:t xml:space="preserve"> IOHs’ activities.</w:t>
      </w:r>
    </w:p>
    <w:p w14:paraId="324DA9EF"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Body Corporate Or Individual</w:t>
      </w:r>
    </w:p>
    <w:p w14:paraId="324DA9F0" w14:textId="77777777" w:rsidR="000647FC" w:rsidRPr="002B05C5" w:rsidRDefault="000647FC"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9F1"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The function of an IOH can be exercised by a natural person as well as by a legal entity. The majority of </w:t>
      </w:r>
      <w:r w:rsidR="002B05C5" w:rsidRPr="002B05C5">
        <w:rPr>
          <w:rFonts w:ascii="Times New Roman" w:hAnsi="Times New Roman" w:cs="Times New Roman"/>
          <w:sz w:val="24"/>
          <w:szCs w:val="24"/>
          <w:lang w:val="en-GB"/>
        </w:rPr>
        <w:t xml:space="preserve">registered </w:t>
      </w:r>
      <w:r w:rsidRPr="002B05C5">
        <w:rPr>
          <w:rFonts w:ascii="Times New Roman" w:hAnsi="Times New Roman" w:cs="Times New Roman"/>
          <w:sz w:val="24"/>
          <w:szCs w:val="24"/>
          <w:lang w:val="en-GB"/>
        </w:rPr>
        <w:t>IOHs</w:t>
      </w:r>
      <w:r w:rsidR="002B05C5" w:rsidRPr="002B05C5">
        <w:rPr>
          <w:rFonts w:ascii="Times New Roman" w:hAnsi="Times New Roman" w:cs="Times New Roman"/>
          <w:sz w:val="24"/>
          <w:szCs w:val="24"/>
          <w:lang w:val="en-GB"/>
        </w:rPr>
        <w:t xml:space="preserve"> </w:t>
      </w:r>
      <w:r w:rsidRPr="002B05C5">
        <w:rPr>
          <w:rFonts w:ascii="Times New Roman" w:hAnsi="Times New Roman" w:cs="Times New Roman"/>
          <w:sz w:val="24"/>
          <w:szCs w:val="24"/>
          <w:lang w:val="en-GB"/>
        </w:rPr>
        <w:t>are natural persons.</w:t>
      </w:r>
      <w:r w:rsidR="008C130C" w:rsidRPr="002B05C5">
        <w:rPr>
          <w:rFonts w:ascii="Times New Roman" w:hAnsi="Times New Roman" w:cs="Times New Roman"/>
          <w:sz w:val="24"/>
          <w:szCs w:val="24"/>
          <w:lang w:val="en-GB"/>
        </w:rPr>
        <w:t xml:space="preserve"> The requirements for an IO</w:t>
      </w:r>
      <w:r w:rsidR="002B05C5" w:rsidRPr="002B05C5">
        <w:rPr>
          <w:rFonts w:ascii="Times New Roman" w:hAnsi="Times New Roman" w:cs="Times New Roman"/>
          <w:sz w:val="24"/>
          <w:szCs w:val="24"/>
          <w:lang w:val="en-GB"/>
        </w:rPr>
        <w:t>H</w:t>
      </w:r>
      <w:r w:rsidR="008C130C" w:rsidRPr="002B05C5">
        <w:rPr>
          <w:rFonts w:ascii="Times New Roman" w:hAnsi="Times New Roman" w:cs="Times New Roman"/>
          <w:sz w:val="24"/>
          <w:szCs w:val="24"/>
          <w:lang w:val="en-GB"/>
        </w:rPr>
        <w:t xml:space="preserve"> being either a natural or a legal person are as follows:</w:t>
      </w:r>
    </w:p>
    <w:p w14:paraId="324DA9F2"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u w:val="single"/>
          <w:lang w:val="en-GB"/>
        </w:rPr>
        <w:t>Natural person</w:t>
      </w:r>
      <w:r w:rsidR="000647FC" w:rsidRPr="002B05C5">
        <w:rPr>
          <w:rFonts w:ascii="Times New Roman" w:hAnsi="Times New Roman" w:cs="Times New Roman"/>
          <w:sz w:val="24"/>
          <w:szCs w:val="24"/>
          <w:lang w:val="en-GB"/>
        </w:rPr>
        <w:t xml:space="preserve">: </w:t>
      </w:r>
    </w:p>
    <w:p w14:paraId="324DA9F3" w14:textId="77777777" w:rsidR="004015FC" w:rsidRPr="002B05C5" w:rsidRDefault="004015FC" w:rsidP="0027110D">
      <w:pPr>
        <w:pStyle w:val="Paragraphedeliste"/>
        <w:numPr>
          <w:ilvl w:val="0"/>
          <w:numId w:val="11"/>
        </w:numPr>
        <w:spacing w:after="100" w:afterAutospacing="1"/>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citizen</w:t>
      </w:r>
      <w:r w:rsidR="000647FC" w:rsidRPr="002B05C5">
        <w:rPr>
          <w:rFonts w:ascii="Times New Roman" w:hAnsi="Times New Roman" w:cs="Times New Roman"/>
          <w:sz w:val="24"/>
          <w:szCs w:val="24"/>
          <w:lang w:val="en-GB"/>
        </w:rPr>
        <w:t>ship</w:t>
      </w:r>
      <w:r w:rsidRPr="002B05C5">
        <w:rPr>
          <w:rFonts w:ascii="Times New Roman" w:hAnsi="Times New Roman" w:cs="Times New Roman"/>
          <w:sz w:val="24"/>
          <w:szCs w:val="24"/>
          <w:lang w:val="en-GB"/>
        </w:rPr>
        <w:t xml:space="preserve"> of the Slovak Republic or </w:t>
      </w:r>
      <w:r w:rsidR="000647FC" w:rsidRPr="002B05C5">
        <w:rPr>
          <w:rFonts w:ascii="Times New Roman" w:hAnsi="Times New Roman" w:cs="Times New Roman"/>
          <w:sz w:val="24"/>
          <w:szCs w:val="24"/>
          <w:lang w:val="en-GB"/>
        </w:rPr>
        <w:t>an</w:t>
      </w:r>
      <w:r w:rsidRPr="002B05C5">
        <w:rPr>
          <w:rFonts w:ascii="Times New Roman" w:hAnsi="Times New Roman" w:cs="Times New Roman"/>
          <w:sz w:val="24"/>
          <w:szCs w:val="24"/>
          <w:lang w:val="en-GB"/>
        </w:rPr>
        <w:t xml:space="preserve">other </w:t>
      </w:r>
      <w:r w:rsidR="000647FC" w:rsidRPr="002B05C5">
        <w:rPr>
          <w:rFonts w:ascii="Times New Roman" w:hAnsi="Times New Roman" w:cs="Times New Roman"/>
          <w:sz w:val="24"/>
          <w:szCs w:val="24"/>
          <w:lang w:val="en-GB"/>
        </w:rPr>
        <w:t>M</w:t>
      </w:r>
      <w:r w:rsidRPr="002B05C5">
        <w:rPr>
          <w:rFonts w:ascii="Times New Roman" w:hAnsi="Times New Roman" w:cs="Times New Roman"/>
          <w:sz w:val="24"/>
          <w:szCs w:val="24"/>
          <w:lang w:val="en-GB"/>
        </w:rPr>
        <w:t xml:space="preserve">ember </w:t>
      </w:r>
      <w:r w:rsidR="000647FC" w:rsidRPr="002B05C5">
        <w:rPr>
          <w:rFonts w:ascii="Times New Roman" w:hAnsi="Times New Roman" w:cs="Times New Roman"/>
          <w:sz w:val="24"/>
          <w:szCs w:val="24"/>
          <w:lang w:val="en-GB"/>
        </w:rPr>
        <w:t>S</w:t>
      </w:r>
      <w:r w:rsidRPr="002B05C5">
        <w:rPr>
          <w:rFonts w:ascii="Times New Roman" w:hAnsi="Times New Roman" w:cs="Times New Roman"/>
          <w:sz w:val="24"/>
          <w:szCs w:val="24"/>
          <w:lang w:val="en-GB"/>
        </w:rPr>
        <w:t>tate</w:t>
      </w:r>
      <w:r w:rsidR="000647FC" w:rsidRPr="002B05C5">
        <w:rPr>
          <w:rFonts w:ascii="Times New Roman" w:hAnsi="Times New Roman" w:cs="Times New Roman"/>
          <w:sz w:val="24"/>
          <w:szCs w:val="24"/>
          <w:lang w:val="en-GB"/>
        </w:rPr>
        <w:t xml:space="preserve"> of the EU</w:t>
      </w:r>
      <w:r w:rsidR="007B61C3" w:rsidRPr="002B05C5">
        <w:rPr>
          <w:rFonts w:ascii="Times New Roman" w:hAnsi="Times New Roman" w:cs="Times New Roman"/>
          <w:sz w:val="24"/>
          <w:szCs w:val="24"/>
          <w:lang w:val="en-GB"/>
        </w:rPr>
        <w:t>/EEA</w:t>
      </w:r>
      <w:r w:rsidR="00C13C64" w:rsidRPr="002B05C5">
        <w:rPr>
          <w:rFonts w:ascii="Times New Roman" w:hAnsi="Times New Roman" w:cs="Times New Roman"/>
          <w:sz w:val="24"/>
          <w:szCs w:val="24"/>
          <w:lang w:val="en-GB"/>
        </w:rPr>
        <w:t>;</w:t>
      </w:r>
    </w:p>
    <w:p w14:paraId="324DA9F4" w14:textId="77777777" w:rsidR="004015FC" w:rsidRPr="002B05C5" w:rsidRDefault="000647FC" w:rsidP="0027110D">
      <w:pPr>
        <w:pStyle w:val="Paragraphedeliste"/>
        <w:numPr>
          <w:ilvl w:val="0"/>
          <w:numId w:val="11"/>
        </w:numPr>
        <w:spacing w:after="100" w:afterAutospacing="1"/>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full legal </w:t>
      </w:r>
      <w:r w:rsidR="004015FC" w:rsidRPr="002B05C5">
        <w:rPr>
          <w:rFonts w:ascii="Times New Roman" w:hAnsi="Times New Roman" w:cs="Times New Roman"/>
          <w:sz w:val="24"/>
          <w:szCs w:val="24"/>
          <w:lang w:val="en-GB"/>
        </w:rPr>
        <w:t>capacity</w:t>
      </w:r>
    </w:p>
    <w:p w14:paraId="324DA9F5" w14:textId="77777777" w:rsidR="000647FC" w:rsidRPr="002B05C5" w:rsidRDefault="004015FC" w:rsidP="0027110D">
      <w:pPr>
        <w:pStyle w:val="Paragraphedeliste"/>
        <w:numPr>
          <w:ilvl w:val="0"/>
          <w:numId w:val="11"/>
        </w:numPr>
        <w:spacing w:after="100" w:afterAutospacing="1"/>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permanent residence in the territory of the Slovak Republic or of </w:t>
      </w:r>
      <w:r w:rsidR="000647FC" w:rsidRPr="002B05C5">
        <w:rPr>
          <w:rFonts w:ascii="Times New Roman" w:hAnsi="Times New Roman" w:cs="Times New Roman"/>
          <w:sz w:val="24"/>
          <w:szCs w:val="24"/>
          <w:lang w:val="en-GB"/>
        </w:rPr>
        <w:t>an</w:t>
      </w:r>
      <w:r w:rsidRPr="002B05C5">
        <w:rPr>
          <w:rFonts w:ascii="Times New Roman" w:hAnsi="Times New Roman" w:cs="Times New Roman"/>
          <w:sz w:val="24"/>
          <w:szCs w:val="24"/>
          <w:lang w:val="en-GB"/>
        </w:rPr>
        <w:t xml:space="preserve">other </w:t>
      </w:r>
      <w:r w:rsidR="00C13C64" w:rsidRPr="002B05C5">
        <w:rPr>
          <w:rFonts w:ascii="Times New Roman" w:hAnsi="Times New Roman" w:cs="Times New Roman"/>
          <w:sz w:val="24"/>
          <w:szCs w:val="24"/>
          <w:lang w:val="en-GB"/>
        </w:rPr>
        <w:t xml:space="preserve">EU </w:t>
      </w:r>
      <w:r w:rsidR="000647FC" w:rsidRPr="002B05C5">
        <w:rPr>
          <w:rFonts w:ascii="Times New Roman" w:hAnsi="Times New Roman" w:cs="Times New Roman"/>
          <w:sz w:val="24"/>
          <w:szCs w:val="24"/>
          <w:lang w:val="en-GB"/>
        </w:rPr>
        <w:t>Member State</w:t>
      </w:r>
    </w:p>
    <w:p w14:paraId="324DA9F6" w14:textId="77777777" w:rsidR="004015FC" w:rsidRPr="002B05C5" w:rsidRDefault="00583C01" w:rsidP="0027110D">
      <w:pPr>
        <w:pStyle w:val="Paragraphedeliste"/>
        <w:numPr>
          <w:ilvl w:val="0"/>
          <w:numId w:val="11"/>
        </w:numPr>
        <w:spacing w:after="100" w:afterAutospacing="1"/>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clear criminal record and trustworthiness</w:t>
      </w:r>
    </w:p>
    <w:p w14:paraId="324DA9F7" w14:textId="77777777" w:rsidR="004015FC" w:rsidRPr="002B05C5" w:rsidRDefault="009A5E2D" w:rsidP="0027110D">
      <w:pPr>
        <w:pStyle w:val="Paragraphedeliste"/>
        <w:numPr>
          <w:ilvl w:val="0"/>
          <w:numId w:val="11"/>
        </w:numPr>
        <w:spacing w:after="100" w:afterAutospacing="1"/>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professional</w:t>
      </w:r>
      <w:r w:rsidR="004015FC" w:rsidRPr="002B05C5">
        <w:rPr>
          <w:rFonts w:ascii="Times New Roman" w:hAnsi="Times New Roman" w:cs="Times New Roman"/>
          <w:sz w:val="24"/>
          <w:szCs w:val="24"/>
          <w:lang w:val="en-GB"/>
        </w:rPr>
        <w:t xml:space="preserve"> competence</w:t>
      </w:r>
    </w:p>
    <w:p w14:paraId="324DA9F8" w14:textId="77777777" w:rsidR="004015FC" w:rsidRPr="002B05C5" w:rsidRDefault="004015FC" w:rsidP="0027110D">
      <w:pPr>
        <w:spacing w:after="100" w:afterAutospacing="1"/>
        <w:ind w:firstLine="708"/>
        <w:jc w:val="both"/>
        <w:rPr>
          <w:rFonts w:ascii="Times New Roman" w:hAnsi="Times New Roman" w:cs="Times New Roman"/>
          <w:sz w:val="24"/>
          <w:szCs w:val="24"/>
          <w:u w:val="single"/>
          <w:lang w:val="en-GB"/>
        </w:rPr>
      </w:pPr>
      <w:r w:rsidRPr="002B05C5">
        <w:rPr>
          <w:rFonts w:ascii="Times New Roman" w:hAnsi="Times New Roman" w:cs="Times New Roman"/>
          <w:sz w:val="24"/>
          <w:szCs w:val="24"/>
          <w:u w:val="single"/>
          <w:lang w:val="en-GB"/>
        </w:rPr>
        <w:t>Legal entity</w:t>
      </w:r>
      <w:r w:rsidR="008C130C" w:rsidRPr="002B05C5">
        <w:rPr>
          <w:rFonts w:ascii="Times New Roman" w:hAnsi="Times New Roman" w:cs="Times New Roman"/>
          <w:sz w:val="24"/>
          <w:szCs w:val="24"/>
          <w:u w:val="single"/>
          <w:lang w:val="en-GB"/>
        </w:rPr>
        <w:t>:</w:t>
      </w:r>
    </w:p>
    <w:p w14:paraId="324DA9F9" w14:textId="77777777" w:rsidR="004015FC" w:rsidRPr="002B05C5" w:rsidRDefault="003A1265" w:rsidP="0027110D">
      <w:pPr>
        <w:pStyle w:val="Paragraphedeliste"/>
        <w:numPr>
          <w:ilvl w:val="0"/>
          <w:numId w:val="12"/>
        </w:numPr>
        <w:spacing w:after="100" w:afterAutospacing="1"/>
        <w:contextualSpacing/>
        <w:jc w:val="both"/>
        <w:rPr>
          <w:rFonts w:ascii="Times New Roman" w:hAnsi="Times New Roman" w:cs="Times New Roman"/>
          <w:sz w:val="24"/>
          <w:szCs w:val="24"/>
          <w:u w:val="single"/>
          <w:lang w:val="en-GB"/>
        </w:rPr>
      </w:pPr>
      <w:r w:rsidRPr="002B05C5">
        <w:rPr>
          <w:rFonts w:ascii="Times New Roman" w:hAnsi="Times New Roman" w:cs="Times New Roman"/>
          <w:sz w:val="24"/>
          <w:szCs w:val="24"/>
          <w:lang w:val="en-GB"/>
        </w:rPr>
        <w:t>limited partnership/</w:t>
      </w:r>
      <w:proofErr w:type="spellStart"/>
      <w:r w:rsidR="004015FC" w:rsidRPr="002B05C5">
        <w:rPr>
          <w:rFonts w:ascii="Times New Roman" w:hAnsi="Times New Roman" w:cs="Times New Roman"/>
          <w:i/>
          <w:sz w:val="24"/>
          <w:szCs w:val="24"/>
          <w:lang w:val="en-GB"/>
        </w:rPr>
        <w:t>komanditná</w:t>
      </w:r>
      <w:proofErr w:type="spellEnd"/>
      <w:r w:rsidR="004015FC" w:rsidRPr="002B05C5">
        <w:rPr>
          <w:rFonts w:ascii="Times New Roman" w:hAnsi="Times New Roman" w:cs="Times New Roman"/>
          <w:i/>
          <w:sz w:val="24"/>
          <w:szCs w:val="24"/>
          <w:lang w:val="en-GB"/>
        </w:rPr>
        <w:t xml:space="preserve"> </w:t>
      </w:r>
      <w:proofErr w:type="spellStart"/>
      <w:r w:rsidR="004015FC" w:rsidRPr="002B05C5">
        <w:rPr>
          <w:rFonts w:ascii="Times New Roman" w:hAnsi="Times New Roman" w:cs="Times New Roman"/>
          <w:i/>
          <w:sz w:val="24"/>
          <w:szCs w:val="24"/>
          <w:lang w:val="en-GB"/>
        </w:rPr>
        <w:t>spoločnosť</w:t>
      </w:r>
      <w:proofErr w:type="spellEnd"/>
      <w:r w:rsidR="002B05C5" w:rsidRPr="002B05C5">
        <w:rPr>
          <w:rFonts w:ascii="Times New Roman" w:hAnsi="Times New Roman" w:cs="Times New Roman"/>
          <w:i/>
          <w:sz w:val="24"/>
          <w:szCs w:val="24"/>
          <w:lang w:val="en-GB"/>
        </w:rPr>
        <w:t xml:space="preserve"> (</w:t>
      </w:r>
      <w:r w:rsidR="002B05C5" w:rsidRPr="002B05C5">
        <w:rPr>
          <w:rFonts w:ascii="Times New Roman" w:hAnsi="Times New Roman" w:cs="Times New Roman"/>
          <w:sz w:val="24"/>
          <w:szCs w:val="24"/>
          <w:lang w:val="en-GB"/>
        </w:rPr>
        <w:t xml:space="preserve">as shareholders with unlimited liability – </w:t>
      </w:r>
      <w:proofErr w:type="spellStart"/>
      <w:r w:rsidR="002B05C5" w:rsidRPr="002B05C5">
        <w:rPr>
          <w:rFonts w:ascii="Times New Roman" w:hAnsi="Times New Roman" w:cs="Times New Roman"/>
          <w:i/>
          <w:sz w:val="24"/>
          <w:szCs w:val="24"/>
          <w:lang w:val="en-GB"/>
        </w:rPr>
        <w:t>komanditisti</w:t>
      </w:r>
      <w:proofErr w:type="spellEnd"/>
      <w:r w:rsidR="002B05C5" w:rsidRPr="002B05C5">
        <w:rPr>
          <w:rFonts w:ascii="Times New Roman" w:hAnsi="Times New Roman" w:cs="Times New Roman"/>
          <w:i/>
          <w:sz w:val="24"/>
          <w:szCs w:val="24"/>
          <w:lang w:val="en-GB"/>
        </w:rPr>
        <w:t xml:space="preserve">) </w:t>
      </w:r>
      <w:r w:rsidR="002B05C5" w:rsidRPr="002B05C5">
        <w:rPr>
          <w:rFonts w:ascii="Times New Roman" w:hAnsi="Times New Roman" w:cs="Times New Roman"/>
          <w:sz w:val="24"/>
          <w:szCs w:val="24"/>
          <w:lang w:val="en-GB"/>
        </w:rPr>
        <w:t>or general partnership/</w:t>
      </w:r>
      <w:proofErr w:type="spellStart"/>
      <w:r w:rsidR="002B05C5" w:rsidRPr="002B05C5">
        <w:rPr>
          <w:rFonts w:ascii="Times New Roman" w:hAnsi="Times New Roman" w:cs="Times New Roman"/>
          <w:i/>
          <w:sz w:val="24"/>
          <w:szCs w:val="24"/>
          <w:lang w:val="en-GB"/>
        </w:rPr>
        <w:t>verejná</w:t>
      </w:r>
      <w:proofErr w:type="spellEnd"/>
      <w:r w:rsidR="002B05C5" w:rsidRPr="002B05C5">
        <w:rPr>
          <w:rFonts w:ascii="Times New Roman" w:hAnsi="Times New Roman" w:cs="Times New Roman"/>
          <w:i/>
          <w:sz w:val="24"/>
          <w:szCs w:val="24"/>
          <w:lang w:val="en-GB"/>
        </w:rPr>
        <w:t xml:space="preserve"> </w:t>
      </w:r>
      <w:proofErr w:type="spellStart"/>
      <w:r w:rsidR="002B05C5" w:rsidRPr="002B05C5">
        <w:rPr>
          <w:rFonts w:ascii="Times New Roman" w:hAnsi="Times New Roman" w:cs="Times New Roman"/>
          <w:i/>
          <w:sz w:val="24"/>
          <w:szCs w:val="24"/>
          <w:lang w:val="en-GB"/>
        </w:rPr>
        <w:t>obchodná</w:t>
      </w:r>
      <w:proofErr w:type="spellEnd"/>
      <w:r w:rsidR="002B05C5" w:rsidRPr="002B05C5">
        <w:rPr>
          <w:rFonts w:ascii="Times New Roman" w:hAnsi="Times New Roman" w:cs="Times New Roman"/>
          <w:i/>
          <w:sz w:val="24"/>
          <w:szCs w:val="24"/>
          <w:lang w:val="en-GB"/>
        </w:rPr>
        <w:t xml:space="preserve"> </w:t>
      </w:r>
      <w:proofErr w:type="spellStart"/>
      <w:r w:rsidR="002B05C5" w:rsidRPr="002B05C5">
        <w:rPr>
          <w:rFonts w:ascii="Times New Roman" w:hAnsi="Times New Roman" w:cs="Times New Roman"/>
          <w:i/>
          <w:sz w:val="24"/>
          <w:szCs w:val="24"/>
          <w:lang w:val="en-GB"/>
        </w:rPr>
        <w:t>spoločnosť</w:t>
      </w:r>
      <w:proofErr w:type="spellEnd"/>
      <w:r w:rsidR="004015FC" w:rsidRPr="002B05C5">
        <w:rPr>
          <w:rFonts w:ascii="Times New Roman" w:hAnsi="Times New Roman" w:cs="Times New Roman"/>
          <w:sz w:val="24"/>
          <w:szCs w:val="24"/>
          <w:lang w:val="en-GB"/>
        </w:rPr>
        <w:t>)</w:t>
      </w:r>
    </w:p>
    <w:p w14:paraId="324DA9FA" w14:textId="77777777" w:rsidR="007C272B" w:rsidRPr="002B05C5" w:rsidRDefault="007C272B" w:rsidP="0027110D">
      <w:pPr>
        <w:pStyle w:val="Paragraphedeliste"/>
        <w:spacing w:after="100" w:afterAutospacing="1"/>
        <w:ind w:left="1440"/>
        <w:contextualSpacing/>
        <w:jc w:val="both"/>
        <w:rPr>
          <w:rFonts w:ascii="Times New Roman" w:hAnsi="Times New Roman" w:cs="Times New Roman"/>
          <w:sz w:val="24"/>
          <w:szCs w:val="24"/>
          <w:u w:val="single"/>
          <w:lang w:val="en-GB"/>
        </w:rPr>
      </w:pPr>
    </w:p>
    <w:p w14:paraId="324DA9FB"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Sanction For Acting As An IOH Without Proper Authorisation</w:t>
      </w:r>
    </w:p>
    <w:p w14:paraId="324DA9FC" w14:textId="77777777" w:rsidR="004916E5" w:rsidRPr="002B05C5" w:rsidRDefault="00BE7DA7" w:rsidP="0027110D">
      <w:pPr>
        <w:spacing w:after="100" w:afterAutospacing="1"/>
        <w:ind w:left="708"/>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Pursuant to the </w:t>
      </w:r>
      <w:r w:rsidR="004916E5" w:rsidRPr="002B05C5">
        <w:rPr>
          <w:rFonts w:ascii="Times New Roman" w:hAnsi="Times New Roman" w:cs="Times New Roman"/>
          <w:sz w:val="24"/>
          <w:szCs w:val="24"/>
          <w:lang w:val="en-GB"/>
        </w:rPr>
        <w:t xml:space="preserve">on </w:t>
      </w:r>
      <w:r w:rsidRPr="002B05C5">
        <w:rPr>
          <w:rFonts w:ascii="Times New Roman" w:hAnsi="Times New Roman" w:cs="Times New Roman"/>
          <w:sz w:val="24"/>
          <w:szCs w:val="24"/>
          <w:lang w:val="en-GB"/>
        </w:rPr>
        <w:t>Insolvency Office Holders</w:t>
      </w:r>
      <w:r w:rsidR="00C13C64" w:rsidRPr="002B05C5">
        <w:rPr>
          <w:rFonts w:ascii="Times New Roman" w:hAnsi="Times New Roman" w:cs="Times New Roman"/>
          <w:sz w:val="24"/>
          <w:szCs w:val="24"/>
          <w:lang w:val="en-GB"/>
        </w:rPr>
        <w:t xml:space="preserve"> (Act No. 8/2005)</w:t>
      </w:r>
      <w:r w:rsidR="004916E5" w:rsidRPr="002B05C5">
        <w:rPr>
          <w:rFonts w:ascii="Times New Roman" w:hAnsi="Times New Roman" w:cs="Times New Roman"/>
          <w:sz w:val="24"/>
          <w:szCs w:val="24"/>
          <w:lang w:val="en-GB"/>
        </w:rPr>
        <w:t>, anyone acting as an IOH without proper authorisation</w:t>
      </w:r>
      <w:r w:rsidR="00361028" w:rsidRPr="002B05C5">
        <w:rPr>
          <w:rFonts w:ascii="Times New Roman" w:hAnsi="Times New Roman" w:cs="Times New Roman"/>
          <w:sz w:val="24"/>
          <w:szCs w:val="24"/>
          <w:lang w:val="en-GB"/>
        </w:rPr>
        <w:t xml:space="preserve"> commits a </w:t>
      </w:r>
      <w:r w:rsidR="00C13C64" w:rsidRPr="002B05C5">
        <w:rPr>
          <w:rFonts w:ascii="Times New Roman" w:hAnsi="Times New Roman" w:cs="Times New Roman"/>
          <w:sz w:val="24"/>
          <w:szCs w:val="24"/>
          <w:lang w:val="en-GB"/>
        </w:rPr>
        <w:t xml:space="preserve">civil offence (in Slovak: </w:t>
      </w:r>
      <w:proofErr w:type="spellStart"/>
      <w:r w:rsidR="00C13C64" w:rsidRPr="002B05C5">
        <w:rPr>
          <w:rFonts w:ascii="Times New Roman" w:hAnsi="Times New Roman" w:cs="Times New Roman"/>
          <w:i/>
          <w:sz w:val="24"/>
          <w:szCs w:val="24"/>
          <w:lang w:val="en-GB"/>
        </w:rPr>
        <w:t>priestupok</w:t>
      </w:r>
      <w:proofErr w:type="spellEnd"/>
      <w:r w:rsidR="00C13C64" w:rsidRPr="002B05C5">
        <w:rPr>
          <w:rFonts w:ascii="Times New Roman" w:hAnsi="Times New Roman" w:cs="Times New Roman"/>
          <w:sz w:val="24"/>
          <w:szCs w:val="24"/>
          <w:lang w:val="en-GB"/>
        </w:rPr>
        <w:t>)</w:t>
      </w:r>
      <w:r w:rsidR="00361028" w:rsidRPr="002B05C5">
        <w:rPr>
          <w:rFonts w:ascii="Times New Roman" w:hAnsi="Times New Roman" w:cs="Times New Roman"/>
          <w:sz w:val="24"/>
          <w:szCs w:val="24"/>
          <w:lang w:val="en-GB"/>
        </w:rPr>
        <w:t xml:space="preserve">, </w:t>
      </w:r>
      <w:r w:rsidR="00361028" w:rsidRPr="002B05C5">
        <w:rPr>
          <w:rFonts w:ascii="Times New Roman" w:hAnsi="Times New Roman" w:cs="Times New Roman"/>
          <w:sz w:val="24"/>
          <w:szCs w:val="24"/>
          <w:lang w:val="en-GB"/>
        </w:rPr>
        <w:lastRenderedPageBreak/>
        <w:t xml:space="preserve">which is dealt with by the Ministry. Such conduct </w:t>
      </w:r>
      <w:r w:rsidR="00C13C64" w:rsidRPr="002B05C5">
        <w:rPr>
          <w:rFonts w:ascii="Times New Roman" w:hAnsi="Times New Roman" w:cs="Times New Roman"/>
          <w:sz w:val="24"/>
          <w:szCs w:val="24"/>
          <w:lang w:val="en-GB"/>
        </w:rPr>
        <w:t>shall be</w:t>
      </w:r>
      <w:r w:rsidR="00361028" w:rsidRPr="002B05C5">
        <w:rPr>
          <w:rFonts w:ascii="Times New Roman" w:hAnsi="Times New Roman" w:cs="Times New Roman"/>
          <w:sz w:val="24"/>
          <w:szCs w:val="24"/>
          <w:lang w:val="en-GB"/>
        </w:rPr>
        <w:t xml:space="preserve"> sanctioned with a fine of up to </w:t>
      </w:r>
      <w:r w:rsidR="003A1265" w:rsidRPr="002B05C5">
        <w:rPr>
          <w:rFonts w:ascii="Times New Roman" w:hAnsi="Times New Roman" w:cs="Times New Roman"/>
          <w:sz w:val="24"/>
          <w:szCs w:val="24"/>
          <w:lang w:val="en-GB"/>
        </w:rPr>
        <w:t xml:space="preserve">EUR </w:t>
      </w:r>
      <w:r w:rsidR="00361028" w:rsidRPr="002B05C5">
        <w:rPr>
          <w:rFonts w:ascii="Times New Roman" w:hAnsi="Times New Roman" w:cs="Times New Roman"/>
          <w:sz w:val="24"/>
          <w:szCs w:val="24"/>
          <w:lang w:val="en-GB"/>
        </w:rPr>
        <w:t>5,000.</w:t>
      </w:r>
    </w:p>
    <w:p w14:paraId="324DA9FD"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Bonding And Insurance</w:t>
      </w:r>
    </w:p>
    <w:p w14:paraId="324DA9FE" w14:textId="77777777" w:rsidR="00361028" w:rsidRPr="002B05C5" w:rsidRDefault="00361028"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9FF" w14:textId="77777777" w:rsidR="004015FC" w:rsidRPr="002B05C5" w:rsidRDefault="00361028"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An </w:t>
      </w:r>
      <w:r w:rsidR="004015FC" w:rsidRPr="002B05C5">
        <w:rPr>
          <w:rFonts w:ascii="Times New Roman" w:hAnsi="Times New Roman" w:cs="Times New Roman"/>
          <w:sz w:val="24"/>
          <w:szCs w:val="24"/>
          <w:lang w:val="en-GB"/>
        </w:rPr>
        <w:t xml:space="preserve">IOH is legally obliged to conclude a liability insurance </w:t>
      </w:r>
      <w:r w:rsidR="00DE5B7E" w:rsidRPr="002B05C5">
        <w:rPr>
          <w:rFonts w:ascii="Times New Roman" w:hAnsi="Times New Roman" w:cs="Times New Roman"/>
          <w:sz w:val="24"/>
          <w:szCs w:val="24"/>
          <w:lang w:val="en-GB"/>
        </w:rPr>
        <w:t xml:space="preserve">agreement </w:t>
      </w:r>
      <w:r w:rsidR="004015FC" w:rsidRPr="002B05C5">
        <w:rPr>
          <w:rFonts w:ascii="Times New Roman" w:hAnsi="Times New Roman" w:cs="Times New Roman"/>
          <w:sz w:val="24"/>
          <w:szCs w:val="24"/>
          <w:lang w:val="en-GB"/>
        </w:rPr>
        <w:t xml:space="preserve">and submit it to the Ministry. If an IOH does not prove to have concluded a liability insurance </w:t>
      </w:r>
      <w:r w:rsidR="00DE5B7E" w:rsidRPr="002B05C5">
        <w:rPr>
          <w:rFonts w:ascii="Times New Roman" w:hAnsi="Times New Roman" w:cs="Times New Roman"/>
          <w:sz w:val="24"/>
          <w:szCs w:val="24"/>
          <w:lang w:val="en-GB"/>
        </w:rPr>
        <w:t>agreement</w:t>
      </w:r>
      <w:r w:rsidR="004015FC" w:rsidRPr="002B05C5">
        <w:rPr>
          <w:rFonts w:ascii="Times New Roman" w:hAnsi="Times New Roman" w:cs="Times New Roman"/>
          <w:sz w:val="24"/>
          <w:szCs w:val="24"/>
          <w:lang w:val="en-GB"/>
        </w:rPr>
        <w:t xml:space="preserve">, the Ministry shall delete the IOH from the </w:t>
      </w:r>
      <w:r w:rsidR="003A1265" w:rsidRPr="002B05C5">
        <w:rPr>
          <w:rFonts w:ascii="Times New Roman" w:hAnsi="Times New Roman" w:cs="Times New Roman"/>
          <w:sz w:val="24"/>
          <w:szCs w:val="24"/>
          <w:lang w:val="en-GB"/>
        </w:rPr>
        <w:t>L</w:t>
      </w:r>
      <w:r w:rsidR="004015FC" w:rsidRPr="002B05C5">
        <w:rPr>
          <w:rFonts w:ascii="Times New Roman" w:hAnsi="Times New Roman" w:cs="Times New Roman"/>
          <w:sz w:val="24"/>
          <w:szCs w:val="24"/>
          <w:lang w:val="en-GB"/>
        </w:rPr>
        <w:t xml:space="preserve">ist of IOHs. The IOH is also obliged to inform the Ministry about any changes </w:t>
      </w:r>
      <w:r w:rsidR="00A60990" w:rsidRPr="002B05C5">
        <w:rPr>
          <w:rFonts w:ascii="Times New Roman" w:hAnsi="Times New Roman" w:cs="Times New Roman"/>
          <w:sz w:val="24"/>
          <w:szCs w:val="24"/>
          <w:lang w:val="en-GB"/>
        </w:rPr>
        <w:t>in</w:t>
      </w:r>
      <w:r w:rsidR="004015FC" w:rsidRPr="002B05C5">
        <w:rPr>
          <w:rFonts w:ascii="Times New Roman" w:hAnsi="Times New Roman" w:cs="Times New Roman"/>
          <w:sz w:val="24"/>
          <w:szCs w:val="24"/>
          <w:lang w:val="en-GB"/>
        </w:rPr>
        <w:t xml:space="preserve"> the liability insurance </w:t>
      </w:r>
      <w:r w:rsidR="00DE5B7E" w:rsidRPr="002B05C5">
        <w:rPr>
          <w:rFonts w:ascii="Times New Roman" w:hAnsi="Times New Roman" w:cs="Times New Roman"/>
          <w:sz w:val="24"/>
          <w:szCs w:val="24"/>
          <w:lang w:val="en-GB"/>
        </w:rPr>
        <w:t>agreement</w:t>
      </w:r>
      <w:r w:rsidR="004015FC" w:rsidRPr="002B05C5">
        <w:rPr>
          <w:rFonts w:ascii="Times New Roman" w:hAnsi="Times New Roman" w:cs="Times New Roman"/>
          <w:sz w:val="24"/>
          <w:szCs w:val="24"/>
          <w:lang w:val="en-GB"/>
        </w:rPr>
        <w:t xml:space="preserve"> (</w:t>
      </w:r>
      <w:r w:rsidR="00A60990" w:rsidRPr="002B05C5">
        <w:rPr>
          <w:rFonts w:ascii="Times New Roman" w:hAnsi="Times New Roman" w:cs="Times New Roman"/>
          <w:sz w:val="24"/>
          <w:szCs w:val="24"/>
          <w:lang w:val="en-GB"/>
        </w:rPr>
        <w:t>amendments</w:t>
      </w:r>
      <w:r w:rsidR="004015FC" w:rsidRPr="002B05C5">
        <w:rPr>
          <w:rFonts w:ascii="Times New Roman" w:hAnsi="Times New Roman" w:cs="Times New Roman"/>
          <w:sz w:val="24"/>
          <w:szCs w:val="24"/>
          <w:lang w:val="en-GB"/>
        </w:rPr>
        <w:t>, termination</w:t>
      </w:r>
      <w:r w:rsidR="00DE5B7E" w:rsidRPr="002B05C5">
        <w:rPr>
          <w:rFonts w:ascii="Times New Roman" w:hAnsi="Times New Roman" w:cs="Times New Roman"/>
          <w:sz w:val="24"/>
          <w:szCs w:val="24"/>
          <w:lang w:val="en-GB"/>
        </w:rPr>
        <w:t>,</w:t>
      </w:r>
      <w:r w:rsidR="004015FC" w:rsidRPr="002B05C5">
        <w:rPr>
          <w:rFonts w:ascii="Times New Roman" w:hAnsi="Times New Roman" w:cs="Times New Roman"/>
          <w:sz w:val="24"/>
          <w:szCs w:val="24"/>
          <w:lang w:val="en-GB"/>
        </w:rPr>
        <w:t xml:space="preserve"> etc.) without delay, otherwise a fine</w:t>
      </w:r>
      <w:r w:rsidR="00DE5B7E" w:rsidRPr="002B05C5">
        <w:rPr>
          <w:rFonts w:ascii="Times New Roman" w:hAnsi="Times New Roman" w:cs="Times New Roman"/>
          <w:sz w:val="24"/>
          <w:szCs w:val="24"/>
          <w:lang w:val="en-GB"/>
        </w:rPr>
        <w:t xml:space="preserve"> may be awarded</w:t>
      </w:r>
      <w:r w:rsidR="004015FC" w:rsidRPr="002B05C5">
        <w:rPr>
          <w:rFonts w:ascii="Times New Roman" w:hAnsi="Times New Roman" w:cs="Times New Roman"/>
          <w:sz w:val="24"/>
          <w:szCs w:val="24"/>
          <w:lang w:val="en-GB"/>
        </w:rPr>
        <w:t>.</w:t>
      </w:r>
    </w:p>
    <w:p w14:paraId="324DAA00"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Any potential </w:t>
      </w:r>
      <w:r w:rsidR="00A60990" w:rsidRPr="002B05C5">
        <w:rPr>
          <w:rFonts w:ascii="Times New Roman" w:hAnsi="Times New Roman" w:cs="Times New Roman"/>
          <w:sz w:val="24"/>
          <w:szCs w:val="24"/>
          <w:lang w:val="en-GB"/>
        </w:rPr>
        <w:t>harmed</w:t>
      </w:r>
      <w:r w:rsidRPr="002B05C5">
        <w:rPr>
          <w:rFonts w:ascii="Times New Roman" w:hAnsi="Times New Roman" w:cs="Times New Roman"/>
          <w:sz w:val="24"/>
          <w:szCs w:val="24"/>
          <w:lang w:val="en-GB"/>
        </w:rPr>
        <w:t xml:space="preserve"> party </w:t>
      </w:r>
      <w:r w:rsidR="00A60990" w:rsidRPr="002B05C5">
        <w:rPr>
          <w:rFonts w:ascii="Times New Roman" w:hAnsi="Times New Roman" w:cs="Times New Roman"/>
          <w:sz w:val="24"/>
          <w:szCs w:val="24"/>
          <w:lang w:val="en-GB"/>
        </w:rPr>
        <w:t>can</w:t>
      </w:r>
      <w:r w:rsidRPr="002B05C5">
        <w:rPr>
          <w:rFonts w:ascii="Times New Roman" w:hAnsi="Times New Roman" w:cs="Times New Roman"/>
          <w:sz w:val="24"/>
          <w:szCs w:val="24"/>
          <w:lang w:val="en-GB"/>
        </w:rPr>
        <w:t xml:space="preserve"> claim the compensation directly from the insurance company.</w:t>
      </w:r>
    </w:p>
    <w:p w14:paraId="324DAA01"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Appointment</w:t>
      </w:r>
      <w:r w:rsidR="0021447A" w:rsidRPr="002B05C5">
        <w:rPr>
          <w:rFonts w:ascii="Times New Roman" w:hAnsi="Times New Roman" w:cs="Times New Roman"/>
          <w:b/>
          <w:sz w:val="28"/>
          <w:szCs w:val="28"/>
          <w:lang w:val="en-GB"/>
        </w:rPr>
        <w:t xml:space="preserve"> o</w:t>
      </w:r>
      <w:r w:rsidRPr="002B05C5">
        <w:rPr>
          <w:rFonts w:ascii="Times New Roman" w:hAnsi="Times New Roman" w:cs="Times New Roman"/>
          <w:b/>
          <w:sz w:val="28"/>
          <w:szCs w:val="28"/>
          <w:lang w:val="en-GB"/>
        </w:rPr>
        <w:t>f IOHs</w:t>
      </w:r>
    </w:p>
    <w:p w14:paraId="324DAA02" w14:textId="77777777" w:rsidR="004015FC" w:rsidRPr="002B05C5" w:rsidRDefault="006D4955" w:rsidP="006A0175">
      <w:pPr>
        <w:spacing w:after="100" w:afterAutospacing="1"/>
        <w:ind w:left="708"/>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The appointment procedures of IOHs vary subject to the type of legal proceedings. </w:t>
      </w:r>
    </w:p>
    <w:p w14:paraId="324DAA03" w14:textId="77777777" w:rsidR="006A0175" w:rsidRPr="002B05C5" w:rsidRDefault="006A0175" w:rsidP="006A0175">
      <w:pPr>
        <w:spacing w:after="100" w:afterAutospacing="1"/>
        <w:ind w:left="708"/>
        <w:contextualSpacing/>
        <w:jc w:val="both"/>
        <w:rPr>
          <w:rFonts w:ascii="Times New Roman" w:hAnsi="Times New Roman" w:cs="Times New Roman"/>
          <w:sz w:val="24"/>
          <w:szCs w:val="24"/>
          <w:lang w:val="en-GB"/>
        </w:rPr>
      </w:pPr>
    </w:p>
    <w:p w14:paraId="324DAA04" w14:textId="77777777" w:rsidR="004015FC" w:rsidRPr="002B05C5" w:rsidRDefault="004015FC" w:rsidP="0027110D">
      <w:pPr>
        <w:spacing w:after="100" w:afterAutospacing="1"/>
        <w:ind w:left="708"/>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The </w:t>
      </w:r>
      <w:r w:rsidR="005403B2" w:rsidRPr="002B05C5">
        <w:rPr>
          <w:rFonts w:ascii="Times New Roman" w:hAnsi="Times New Roman" w:cs="Times New Roman"/>
          <w:sz w:val="24"/>
          <w:szCs w:val="24"/>
          <w:lang w:val="en-GB"/>
        </w:rPr>
        <w:t>IOHs</w:t>
      </w:r>
      <w:r w:rsidRPr="002B05C5">
        <w:rPr>
          <w:rFonts w:ascii="Times New Roman" w:hAnsi="Times New Roman" w:cs="Times New Roman"/>
          <w:sz w:val="24"/>
          <w:szCs w:val="24"/>
          <w:lang w:val="en-GB"/>
        </w:rPr>
        <w:t xml:space="preserve"> in the </w:t>
      </w:r>
      <w:r w:rsidRPr="002B05C5">
        <w:rPr>
          <w:rFonts w:ascii="Times New Roman" w:hAnsi="Times New Roman" w:cs="Times New Roman"/>
          <w:b/>
          <w:sz w:val="24"/>
          <w:szCs w:val="24"/>
          <w:lang w:val="en-GB"/>
        </w:rPr>
        <w:t>bankruptcy</w:t>
      </w:r>
      <w:r w:rsidRPr="002B05C5">
        <w:rPr>
          <w:rFonts w:ascii="Times New Roman" w:hAnsi="Times New Roman" w:cs="Times New Roman"/>
          <w:sz w:val="24"/>
          <w:szCs w:val="24"/>
          <w:lang w:val="en-GB"/>
        </w:rPr>
        <w:t xml:space="preserve"> proceedings are appointed by the competent bankruptcy court using a random electronic selection process. The selection is limited only to </w:t>
      </w:r>
      <w:r w:rsidR="00783E0F" w:rsidRPr="002B05C5">
        <w:rPr>
          <w:rFonts w:ascii="Times New Roman" w:hAnsi="Times New Roman" w:cs="Times New Roman"/>
          <w:sz w:val="24"/>
          <w:szCs w:val="24"/>
          <w:lang w:val="en-GB"/>
        </w:rPr>
        <w:t>IOHs</w:t>
      </w:r>
      <w:r w:rsidRPr="002B05C5">
        <w:rPr>
          <w:rFonts w:ascii="Times New Roman" w:hAnsi="Times New Roman" w:cs="Times New Roman"/>
          <w:sz w:val="24"/>
          <w:szCs w:val="24"/>
          <w:lang w:val="en-GB"/>
        </w:rPr>
        <w:t xml:space="preserve"> whose offices are located in the district of the competent court.</w:t>
      </w:r>
    </w:p>
    <w:p w14:paraId="324DAA05" w14:textId="77777777" w:rsidR="004015FC" w:rsidRPr="002B05C5" w:rsidRDefault="004015FC" w:rsidP="0027110D">
      <w:pPr>
        <w:spacing w:after="100" w:afterAutospacing="1"/>
        <w:ind w:left="708"/>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The </w:t>
      </w:r>
      <w:r w:rsidR="005403B2" w:rsidRPr="002B05C5">
        <w:rPr>
          <w:rFonts w:ascii="Times New Roman" w:hAnsi="Times New Roman" w:cs="Times New Roman"/>
          <w:sz w:val="24"/>
          <w:szCs w:val="24"/>
          <w:lang w:val="en-GB"/>
        </w:rPr>
        <w:t xml:space="preserve">IOHs </w:t>
      </w:r>
      <w:r w:rsidRPr="002B05C5">
        <w:rPr>
          <w:rFonts w:ascii="Times New Roman" w:hAnsi="Times New Roman" w:cs="Times New Roman"/>
          <w:sz w:val="24"/>
          <w:szCs w:val="24"/>
          <w:lang w:val="en-GB"/>
        </w:rPr>
        <w:t xml:space="preserve">can be appointed as a </w:t>
      </w:r>
      <w:r w:rsidRPr="002B05C5">
        <w:rPr>
          <w:rFonts w:ascii="Times New Roman" w:hAnsi="Times New Roman" w:cs="Times New Roman"/>
          <w:sz w:val="24"/>
          <w:szCs w:val="24"/>
          <w:u w:val="single"/>
          <w:lang w:val="en-GB"/>
        </w:rPr>
        <w:t>preliminary</w:t>
      </w:r>
      <w:r w:rsidRPr="002B05C5">
        <w:rPr>
          <w:rFonts w:ascii="Times New Roman" w:hAnsi="Times New Roman" w:cs="Times New Roman"/>
          <w:sz w:val="24"/>
          <w:szCs w:val="24"/>
          <w:lang w:val="en-GB"/>
        </w:rPr>
        <w:t xml:space="preserve"> receiver (with the main task to examine the financial status of the debtor) or as a </w:t>
      </w:r>
      <w:r w:rsidRPr="002B05C5">
        <w:rPr>
          <w:rFonts w:ascii="Times New Roman" w:hAnsi="Times New Roman" w:cs="Times New Roman"/>
          <w:sz w:val="24"/>
          <w:szCs w:val="24"/>
          <w:u w:val="single"/>
          <w:lang w:val="en-GB"/>
        </w:rPr>
        <w:t>regular</w:t>
      </w:r>
      <w:r w:rsidRPr="002B05C5">
        <w:rPr>
          <w:rFonts w:ascii="Times New Roman" w:hAnsi="Times New Roman" w:cs="Times New Roman"/>
          <w:sz w:val="24"/>
          <w:szCs w:val="24"/>
          <w:lang w:val="en-GB"/>
        </w:rPr>
        <w:t xml:space="preserve"> receiver. The first creditors</w:t>
      </w:r>
      <w:r w:rsidR="00502D94"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xml:space="preserve"> </w:t>
      </w:r>
      <w:r w:rsidR="00556192" w:rsidRPr="002B05C5">
        <w:rPr>
          <w:rFonts w:ascii="Times New Roman" w:hAnsi="Times New Roman" w:cs="Times New Roman"/>
          <w:sz w:val="24"/>
          <w:szCs w:val="24"/>
          <w:lang w:val="en-GB"/>
        </w:rPr>
        <w:t>meeting</w:t>
      </w:r>
      <w:r w:rsidRPr="002B05C5">
        <w:rPr>
          <w:rFonts w:ascii="Times New Roman" w:hAnsi="Times New Roman" w:cs="Times New Roman"/>
          <w:sz w:val="24"/>
          <w:szCs w:val="24"/>
          <w:lang w:val="en-GB"/>
        </w:rPr>
        <w:t xml:space="preserve"> may revoke the appointed regular receiver</w:t>
      </w:r>
      <w:r w:rsidRPr="002B05C5" w:rsidDel="00011234">
        <w:rPr>
          <w:rFonts w:ascii="Times New Roman" w:hAnsi="Times New Roman" w:cs="Times New Roman"/>
          <w:sz w:val="24"/>
          <w:szCs w:val="24"/>
          <w:lang w:val="en-GB"/>
        </w:rPr>
        <w:t xml:space="preserve"> </w:t>
      </w:r>
      <w:r w:rsidRPr="002B05C5">
        <w:rPr>
          <w:rFonts w:ascii="Times New Roman" w:hAnsi="Times New Roman" w:cs="Times New Roman"/>
          <w:sz w:val="24"/>
          <w:szCs w:val="24"/>
          <w:lang w:val="en-GB"/>
        </w:rPr>
        <w:t xml:space="preserve">for any reason; the following creditors’ </w:t>
      </w:r>
      <w:r w:rsidR="00556192" w:rsidRPr="002B05C5">
        <w:rPr>
          <w:rFonts w:ascii="Times New Roman" w:hAnsi="Times New Roman" w:cs="Times New Roman"/>
          <w:sz w:val="24"/>
          <w:szCs w:val="24"/>
          <w:lang w:val="en-GB"/>
        </w:rPr>
        <w:t>meetings</w:t>
      </w:r>
      <w:r w:rsidRPr="002B05C5">
        <w:rPr>
          <w:rFonts w:ascii="Times New Roman" w:hAnsi="Times New Roman" w:cs="Times New Roman"/>
          <w:sz w:val="24"/>
          <w:szCs w:val="24"/>
          <w:lang w:val="en-GB"/>
        </w:rPr>
        <w:t xml:space="preserve"> may only do so in cases set out in the Bankruptcy and Restructuring Act. </w:t>
      </w:r>
    </w:p>
    <w:p w14:paraId="324DAA06" w14:textId="77777777" w:rsidR="004015FC" w:rsidRPr="002B05C5" w:rsidRDefault="004015FC" w:rsidP="0027110D">
      <w:pPr>
        <w:spacing w:after="100" w:afterAutospacing="1"/>
        <w:ind w:left="708"/>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In case of </w:t>
      </w:r>
      <w:r w:rsidRPr="002B05C5">
        <w:rPr>
          <w:rFonts w:ascii="Times New Roman" w:hAnsi="Times New Roman" w:cs="Times New Roman"/>
          <w:b/>
          <w:sz w:val="24"/>
          <w:szCs w:val="24"/>
          <w:lang w:val="en-GB"/>
        </w:rPr>
        <w:t xml:space="preserve">restructuring </w:t>
      </w:r>
      <w:r w:rsidRPr="002B05C5">
        <w:rPr>
          <w:rFonts w:ascii="Times New Roman" w:hAnsi="Times New Roman" w:cs="Times New Roman"/>
          <w:sz w:val="24"/>
          <w:szCs w:val="24"/>
          <w:lang w:val="en-GB"/>
        </w:rPr>
        <w:t xml:space="preserve">proceedings, the debtor is free to choose an </w:t>
      </w:r>
      <w:r w:rsidR="005403B2" w:rsidRPr="002B05C5">
        <w:rPr>
          <w:rFonts w:ascii="Times New Roman" w:hAnsi="Times New Roman" w:cs="Times New Roman"/>
          <w:sz w:val="24"/>
          <w:szCs w:val="24"/>
          <w:lang w:val="en-GB"/>
        </w:rPr>
        <w:t>IOH</w:t>
      </w:r>
      <w:r w:rsidRPr="002B05C5">
        <w:rPr>
          <w:rFonts w:ascii="Times New Roman" w:hAnsi="Times New Roman" w:cs="Times New Roman"/>
          <w:sz w:val="24"/>
          <w:szCs w:val="24"/>
          <w:lang w:val="en-GB"/>
        </w:rPr>
        <w:t xml:space="preserve"> of its own choice. However, the choice is limited only to </w:t>
      </w:r>
      <w:r w:rsidR="005403B2" w:rsidRPr="002B05C5">
        <w:rPr>
          <w:rFonts w:ascii="Times New Roman" w:hAnsi="Times New Roman" w:cs="Times New Roman"/>
          <w:sz w:val="24"/>
          <w:szCs w:val="24"/>
          <w:lang w:val="en-GB"/>
        </w:rPr>
        <w:t>IOHs</w:t>
      </w:r>
      <w:r w:rsidRPr="002B05C5">
        <w:rPr>
          <w:rFonts w:ascii="Times New Roman" w:hAnsi="Times New Roman" w:cs="Times New Roman"/>
          <w:sz w:val="24"/>
          <w:szCs w:val="24"/>
          <w:lang w:val="en-GB"/>
        </w:rPr>
        <w:t xml:space="preserve"> whose offices are located in the district of the competent court.</w:t>
      </w:r>
    </w:p>
    <w:p w14:paraId="324DAA07" w14:textId="77777777" w:rsidR="004015FC" w:rsidRPr="002B05C5" w:rsidRDefault="004015FC" w:rsidP="0027110D">
      <w:pPr>
        <w:spacing w:after="100" w:afterAutospacing="1"/>
        <w:ind w:left="708"/>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An </w:t>
      </w:r>
      <w:r w:rsidR="005403B2" w:rsidRPr="002B05C5">
        <w:rPr>
          <w:rFonts w:ascii="Times New Roman" w:hAnsi="Times New Roman" w:cs="Times New Roman"/>
          <w:sz w:val="24"/>
          <w:szCs w:val="24"/>
          <w:lang w:val="en-GB"/>
        </w:rPr>
        <w:t>IOH</w:t>
      </w:r>
      <w:r w:rsidRPr="002B05C5">
        <w:rPr>
          <w:rFonts w:ascii="Times New Roman" w:hAnsi="Times New Roman" w:cs="Times New Roman"/>
          <w:sz w:val="24"/>
          <w:szCs w:val="24"/>
          <w:lang w:val="en-GB"/>
        </w:rPr>
        <w:t xml:space="preserve"> cannot be appointed in the proceedings if </w:t>
      </w:r>
      <w:r w:rsidR="00556192" w:rsidRPr="002B05C5">
        <w:rPr>
          <w:rFonts w:ascii="Times New Roman" w:hAnsi="Times New Roman" w:cs="Times New Roman"/>
          <w:sz w:val="24"/>
          <w:szCs w:val="24"/>
          <w:lang w:val="en-GB"/>
        </w:rPr>
        <w:t>any</w:t>
      </w:r>
      <w:r w:rsidRPr="002B05C5">
        <w:rPr>
          <w:rFonts w:ascii="Times New Roman" w:hAnsi="Times New Roman" w:cs="Times New Roman"/>
          <w:sz w:val="24"/>
          <w:szCs w:val="24"/>
          <w:lang w:val="en-GB"/>
        </w:rPr>
        <w:t xml:space="preserve"> doubt regarding its impartiality </w:t>
      </w:r>
      <w:r w:rsidR="00556192" w:rsidRPr="002B05C5">
        <w:rPr>
          <w:rFonts w:ascii="Times New Roman" w:hAnsi="Times New Roman" w:cs="Times New Roman"/>
          <w:sz w:val="24"/>
          <w:szCs w:val="24"/>
          <w:lang w:val="en-GB"/>
        </w:rPr>
        <w:t>arises with</w:t>
      </w:r>
      <w:r w:rsidRPr="002B05C5">
        <w:rPr>
          <w:rFonts w:ascii="Times New Roman" w:hAnsi="Times New Roman" w:cs="Times New Roman"/>
          <w:sz w:val="24"/>
          <w:szCs w:val="24"/>
          <w:lang w:val="en-GB"/>
        </w:rPr>
        <w:t xml:space="preserve"> respect to the case or parties involved in the proceedings.</w:t>
      </w:r>
    </w:p>
    <w:p w14:paraId="324DAA08"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Remuneration</w:t>
      </w:r>
    </w:p>
    <w:p w14:paraId="324DAA09" w14:textId="77777777" w:rsidR="00556192" w:rsidRPr="002B05C5" w:rsidRDefault="00556192"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A0A" w14:textId="77777777" w:rsidR="007F4AA7"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In </w:t>
      </w:r>
      <w:r w:rsidRPr="002B05C5">
        <w:rPr>
          <w:rFonts w:ascii="Times New Roman" w:hAnsi="Times New Roman" w:cs="Times New Roman"/>
          <w:b/>
          <w:sz w:val="24"/>
          <w:szCs w:val="24"/>
          <w:lang w:val="en-GB"/>
        </w:rPr>
        <w:t>bankruptcy</w:t>
      </w:r>
      <w:r w:rsidRPr="002B05C5">
        <w:rPr>
          <w:rFonts w:ascii="Times New Roman" w:hAnsi="Times New Roman" w:cs="Times New Roman"/>
          <w:b/>
          <w:i/>
          <w:sz w:val="24"/>
          <w:szCs w:val="24"/>
          <w:lang w:val="en-GB"/>
        </w:rPr>
        <w:t xml:space="preserve"> </w:t>
      </w:r>
      <w:r w:rsidRPr="002B05C5">
        <w:rPr>
          <w:rFonts w:ascii="Times New Roman" w:hAnsi="Times New Roman" w:cs="Times New Roman"/>
          <w:sz w:val="24"/>
          <w:szCs w:val="24"/>
          <w:lang w:val="en-GB"/>
        </w:rPr>
        <w:t>proceedings, the activity of a preliminary receiver</w:t>
      </w:r>
      <w:r w:rsidRPr="002B05C5" w:rsidDel="00011234">
        <w:rPr>
          <w:rFonts w:ascii="Times New Roman" w:hAnsi="Times New Roman" w:cs="Times New Roman"/>
          <w:sz w:val="24"/>
          <w:szCs w:val="24"/>
          <w:lang w:val="en-GB"/>
        </w:rPr>
        <w:t xml:space="preserve"> </w:t>
      </w:r>
      <w:r w:rsidRPr="002B05C5">
        <w:rPr>
          <w:rFonts w:ascii="Times New Roman" w:hAnsi="Times New Roman" w:cs="Times New Roman"/>
          <w:sz w:val="24"/>
          <w:szCs w:val="24"/>
          <w:lang w:val="en-GB"/>
        </w:rPr>
        <w:t xml:space="preserve">and </w:t>
      </w:r>
      <w:r w:rsidR="00E85409" w:rsidRPr="002B05C5">
        <w:rPr>
          <w:rFonts w:ascii="Times New Roman" w:hAnsi="Times New Roman" w:cs="Times New Roman"/>
          <w:sz w:val="24"/>
          <w:szCs w:val="24"/>
          <w:lang w:val="en-GB"/>
        </w:rPr>
        <w:t xml:space="preserve">a </w:t>
      </w:r>
      <w:r w:rsidRPr="002B05C5">
        <w:rPr>
          <w:rFonts w:ascii="Times New Roman" w:hAnsi="Times New Roman" w:cs="Times New Roman"/>
          <w:sz w:val="24"/>
          <w:szCs w:val="24"/>
          <w:lang w:val="en-GB"/>
        </w:rPr>
        <w:t>regular receiver</w:t>
      </w:r>
      <w:r w:rsidRPr="002B05C5" w:rsidDel="00011234">
        <w:rPr>
          <w:rFonts w:ascii="Times New Roman" w:hAnsi="Times New Roman" w:cs="Times New Roman"/>
          <w:sz w:val="24"/>
          <w:szCs w:val="24"/>
          <w:lang w:val="en-GB"/>
        </w:rPr>
        <w:t xml:space="preserve"> </w:t>
      </w:r>
      <w:r w:rsidRPr="002B05C5">
        <w:rPr>
          <w:rFonts w:ascii="Times New Roman" w:hAnsi="Times New Roman" w:cs="Times New Roman"/>
          <w:sz w:val="24"/>
          <w:szCs w:val="24"/>
          <w:lang w:val="en-GB"/>
        </w:rPr>
        <w:t>prior to</w:t>
      </w:r>
      <w:r w:rsidR="00310457">
        <w:rPr>
          <w:rFonts w:ascii="Times New Roman" w:hAnsi="Times New Roman" w:cs="Times New Roman"/>
          <w:sz w:val="24"/>
          <w:szCs w:val="24"/>
          <w:lang w:val="en-GB"/>
        </w:rPr>
        <w:t xml:space="preserve"> the</w:t>
      </w:r>
      <w:r w:rsidRPr="002B05C5">
        <w:rPr>
          <w:rFonts w:ascii="Times New Roman" w:hAnsi="Times New Roman" w:cs="Times New Roman"/>
          <w:sz w:val="24"/>
          <w:szCs w:val="24"/>
          <w:lang w:val="en-GB"/>
        </w:rPr>
        <w:t xml:space="preserve"> first creditors</w:t>
      </w:r>
      <w:r w:rsidR="00502D94"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xml:space="preserve"> </w:t>
      </w:r>
      <w:r w:rsidR="00E85409" w:rsidRPr="002B05C5">
        <w:rPr>
          <w:rFonts w:ascii="Times New Roman" w:hAnsi="Times New Roman" w:cs="Times New Roman"/>
          <w:sz w:val="24"/>
          <w:szCs w:val="24"/>
          <w:lang w:val="en-GB"/>
        </w:rPr>
        <w:t>meeting</w:t>
      </w:r>
      <w:r w:rsidRPr="002B05C5">
        <w:rPr>
          <w:rFonts w:ascii="Times New Roman" w:hAnsi="Times New Roman" w:cs="Times New Roman"/>
          <w:sz w:val="24"/>
          <w:szCs w:val="24"/>
          <w:lang w:val="en-GB"/>
        </w:rPr>
        <w:t xml:space="preserve"> is remunerated by a lump-sum fee</w:t>
      </w:r>
      <w:r w:rsidR="003C1D11">
        <w:rPr>
          <w:rFonts w:ascii="Times New Roman" w:hAnsi="Times New Roman" w:cs="Times New Roman"/>
          <w:sz w:val="24"/>
          <w:szCs w:val="24"/>
          <w:lang w:val="en-GB"/>
        </w:rPr>
        <w:t xml:space="preserve">. The </w:t>
      </w:r>
      <w:r w:rsidR="003C1D11" w:rsidRPr="002B05C5">
        <w:rPr>
          <w:rFonts w:ascii="Times New Roman" w:hAnsi="Times New Roman" w:cs="Times New Roman"/>
          <w:sz w:val="24"/>
          <w:szCs w:val="24"/>
          <w:lang w:val="en-GB"/>
        </w:rPr>
        <w:t>preliminary receiver</w:t>
      </w:r>
      <w:r w:rsidR="003C1D11">
        <w:rPr>
          <w:rFonts w:ascii="Times New Roman" w:hAnsi="Times New Roman" w:cs="Times New Roman"/>
          <w:sz w:val="24"/>
          <w:szCs w:val="24"/>
          <w:lang w:val="en-GB"/>
        </w:rPr>
        <w:t xml:space="preserve"> as well as the person who filed application for bankruptcy </w:t>
      </w:r>
      <w:r w:rsidR="003C1D11">
        <w:rPr>
          <w:rFonts w:ascii="Times New Roman" w:hAnsi="Times New Roman" w:cs="Times New Roman"/>
          <w:sz w:val="24"/>
          <w:szCs w:val="24"/>
          <w:lang w:val="en-US"/>
        </w:rPr>
        <w:t xml:space="preserve">(person who has paid the advance charge for the receiver’s </w:t>
      </w:r>
      <w:r w:rsidR="003C1D11" w:rsidRPr="003C1D11">
        <w:rPr>
          <w:rFonts w:ascii="Times New Roman" w:hAnsi="Times New Roman" w:cs="Times New Roman"/>
          <w:sz w:val="24"/>
          <w:szCs w:val="24"/>
          <w:lang w:val="en-GB"/>
        </w:rPr>
        <w:t xml:space="preserve">remuneration) shall have the right to file an objection against the court resolution on defining the fee. </w:t>
      </w:r>
    </w:p>
    <w:p w14:paraId="324DAA0B" w14:textId="77777777" w:rsidR="004015FC" w:rsidRPr="002B05C5" w:rsidRDefault="003C1D11" w:rsidP="0027110D">
      <w:pPr>
        <w:pStyle w:val="Paragraphedeliste"/>
        <w:spacing w:after="100" w:afterAutospacing="1"/>
        <w:jc w:val="both"/>
        <w:rPr>
          <w:rFonts w:ascii="Times New Roman" w:hAnsi="Times New Roman" w:cs="Times New Roman"/>
          <w:sz w:val="24"/>
          <w:szCs w:val="24"/>
          <w:lang w:val="en-GB"/>
        </w:rPr>
      </w:pPr>
      <w:r w:rsidRPr="003C1D11">
        <w:rPr>
          <w:rFonts w:ascii="Times New Roman" w:hAnsi="Times New Roman" w:cs="Times New Roman"/>
          <w:sz w:val="24"/>
          <w:szCs w:val="24"/>
          <w:lang w:val="en-GB"/>
        </w:rPr>
        <w:lastRenderedPageBreak/>
        <w:t>T</w:t>
      </w:r>
      <w:r w:rsidR="004015FC" w:rsidRPr="003C1D11">
        <w:rPr>
          <w:rFonts w:ascii="Times New Roman" w:hAnsi="Times New Roman" w:cs="Times New Roman"/>
          <w:sz w:val="24"/>
          <w:szCs w:val="24"/>
          <w:lang w:val="en-GB"/>
        </w:rPr>
        <w:t>he fee of a regular receiver</w:t>
      </w:r>
      <w:r w:rsidR="004015FC" w:rsidRPr="003C1D11" w:rsidDel="00011234">
        <w:rPr>
          <w:rFonts w:ascii="Times New Roman" w:hAnsi="Times New Roman" w:cs="Times New Roman"/>
          <w:sz w:val="24"/>
          <w:szCs w:val="24"/>
          <w:lang w:val="en-GB"/>
        </w:rPr>
        <w:t xml:space="preserve"> </w:t>
      </w:r>
      <w:r w:rsidR="004015FC" w:rsidRPr="003C1D11">
        <w:rPr>
          <w:rFonts w:ascii="Times New Roman" w:hAnsi="Times New Roman" w:cs="Times New Roman"/>
          <w:sz w:val="24"/>
          <w:szCs w:val="24"/>
          <w:lang w:val="en-GB"/>
        </w:rPr>
        <w:t xml:space="preserve">after the first </w:t>
      </w:r>
      <w:r w:rsidR="007F4AA7">
        <w:rPr>
          <w:rFonts w:ascii="Times New Roman" w:hAnsi="Times New Roman" w:cs="Times New Roman"/>
          <w:sz w:val="24"/>
          <w:szCs w:val="24"/>
          <w:lang w:val="en-GB"/>
        </w:rPr>
        <w:t xml:space="preserve">creditor’s </w:t>
      </w:r>
      <w:r w:rsidR="00E85409" w:rsidRPr="003C1D11">
        <w:rPr>
          <w:rFonts w:ascii="Times New Roman" w:hAnsi="Times New Roman" w:cs="Times New Roman"/>
          <w:sz w:val="24"/>
          <w:szCs w:val="24"/>
          <w:lang w:val="en-GB"/>
        </w:rPr>
        <w:t xml:space="preserve">meeting </w:t>
      </w:r>
      <w:r w:rsidR="004015FC" w:rsidRPr="003C1D11">
        <w:rPr>
          <w:rFonts w:ascii="Times New Roman" w:hAnsi="Times New Roman" w:cs="Times New Roman"/>
          <w:sz w:val="24"/>
          <w:szCs w:val="24"/>
          <w:lang w:val="en-GB"/>
        </w:rPr>
        <w:t xml:space="preserve">will depend on the </w:t>
      </w:r>
      <w:r w:rsidR="00783E0F" w:rsidRPr="003C1D11">
        <w:rPr>
          <w:rFonts w:ascii="Times New Roman" w:hAnsi="Times New Roman" w:cs="Times New Roman"/>
          <w:sz w:val="24"/>
          <w:szCs w:val="24"/>
          <w:lang w:val="en-GB"/>
        </w:rPr>
        <w:t>value of the sold assets</w:t>
      </w:r>
      <w:r w:rsidR="004015FC" w:rsidRPr="002B05C5">
        <w:rPr>
          <w:rFonts w:ascii="Times New Roman" w:hAnsi="Times New Roman" w:cs="Times New Roman"/>
          <w:sz w:val="24"/>
          <w:szCs w:val="24"/>
          <w:lang w:val="en-GB"/>
        </w:rPr>
        <w:t xml:space="preserve">. </w:t>
      </w:r>
      <w:r w:rsidR="007F4AA7">
        <w:rPr>
          <w:rFonts w:ascii="Times New Roman" w:hAnsi="Times New Roman" w:cs="Times New Roman"/>
          <w:sz w:val="24"/>
          <w:szCs w:val="24"/>
          <w:lang w:val="en-GB"/>
        </w:rPr>
        <w:t xml:space="preserve">The remuneration is awarded by the court upon an application of the IOH. The IOH shall have the right to object against the court’s decision in case the court has not accepted his application in full amount.  </w:t>
      </w:r>
    </w:p>
    <w:p w14:paraId="324DAA0C"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In </w:t>
      </w:r>
      <w:r w:rsidR="00310457">
        <w:rPr>
          <w:rFonts w:ascii="Times New Roman" w:hAnsi="Times New Roman" w:cs="Times New Roman"/>
          <w:sz w:val="24"/>
          <w:szCs w:val="24"/>
          <w:lang w:val="en-GB"/>
        </w:rPr>
        <w:t>each</w:t>
      </w:r>
      <w:r w:rsidRPr="002B05C5">
        <w:rPr>
          <w:rFonts w:ascii="Times New Roman" w:hAnsi="Times New Roman" w:cs="Times New Roman"/>
          <w:sz w:val="24"/>
          <w:szCs w:val="24"/>
          <w:lang w:val="en-GB"/>
        </w:rPr>
        <w:t xml:space="preserve"> case, the fee has to be approved by the court. The court </w:t>
      </w:r>
      <w:r w:rsidR="00310457">
        <w:rPr>
          <w:rFonts w:ascii="Times New Roman" w:hAnsi="Times New Roman" w:cs="Times New Roman"/>
          <w:sz w:val="24"/>
          <w:szCs w:val="24"/>
          <w:lang w:val="en-GB"/>
        </w:rPr>
        <w:t xml:space="preserve">is allowed </w:t>
      </w:r>
      <w:r w:rsidR="003C1D11">
        <w:rPr>
          <w:rFonts w:ascii="Times New Roman" w:hAnsi="Times New Roman" w:cs="Times New Roman"/>
          <w:sz w:val="24"/>
          <w:szCs w:val="24"/>
          <w:lang w:val="en-GB"/>
        </w:rPr>
        <w:t xml:space="preserve">to </w:t>
      </w:r>
      <w:r w:rsidRPr="002B05C5">
        <w:rPr>
          <w:rFonts w:ascii="Times New Roman" w:hAnsi="Times New Roman" w:cs="Times New Roman"/>
          <w:sz w:val="24"/>
          <w:szCs w:val="24"/>
          <w:lang w:val="en-GB"/>
        </w:rPr>
        <w:t xml:space="preserve">reduce or not to award the remuneration if </w:t>
      </w:r>
      <w:r w:rsidR="00841248" w:rsidRPr="002B05C5">
        <w:rPr>
          <w:rFonts w:ascii="Times New Roman" w:hAnsi="Times New Roman" w:cs="Times New Roman"/>
          <w:sz w:val="24"/>
          <w:szCs w:val="24"/>
          <w:lang w:val="en-GB"/>
        </w:rPr>
        <w:t>an</w:t>
      </w:r>
      <w:r w:rsidRPr="002B05C5">
        <w:rPr>
          <w:rFonts w:ascii="Times New Roman" w:hAnsi="Times New Roman" w:cs="Times New Roman"/>
          <w:sz w:val="24"/>
          <w:szCs w:val="24"/>
          <w:lang w:val="en-GB"/>
        </w:rPr>
        <w:t xml:space="preserve"> </w:t>
      </w:r>
      <w:r w:rsidR="00783E0F" w:rsidRPr="002B05C5">
        <w:rPr>
          <w:rFonts w:ascii="Times New Roman" w:hAnsi="Times New Roman" w:cs="Times New Roman"/>
          <w:sz w:val="24"/>
          <w:szCs w:val="24"/>
          <w:lang w:val="en-GB"/>
        </w:rPr>
        <w:t>IOH</w:t>
      </w:r>
      <w:r w:rsidRPr="002B05C5">
        <w:rPr>
          <w:rFonts w:ascii="Times New Roman" w:hAnsi="Times New Roman" w:cs="Times New Roman"/>
          <w:sz w:val="24"/>
          <w:szCs w:val="24"/>
          <w:lang w:val="en-GB"/>
        </w:rPr>
        <w:t xml:space="preserve"> has violated its duties within the proceedings or c</w:t>
      </w:r>
      <w:r w:rsidR="00841248" w:rsidRPr="002B05C5">
        <w:rPr>
          <w:rFonts w:ascii="Times New Roman" w:hAnsi="Times New Roman" w:cs="Times New Roman"/>
          <w:sz w:val="24"/>
          <w:szCs w:val="24"/>
          <w:lang w:val="en-GB"/>
        </w:rPr>
        <w:t xml:space="preserve">aused delay in the proceedings and if objections </w:t>
      </w:r>
      <w:r w:rsidR="003C1D11">
        <w:rPr>
          <w:rFonts w:ascii="Times New Roman" w:hAnsi="Times New Roman" w:cs="Times New Roman"/>
          <w:sz w:val="24"/>
          <w:szCs w:val="24"/>
          <w:lang w:val="en-GB"/>
        </w:rPr>
        <w:t>have been</w:t>
      </w:r>
      <w:r w:rsidR="00841248" w:rsidRPr="002B05C5">
        <w:rPr>
          <w:rFonts w:ascii="Times New Roman" w:hAnsi="Times New Roman" w:cs="Times New Roman"/>
          <w:sz w:val="24"/>
          <w:szCs w:val="24"/>
          <w:lang w:val="en-GB"/>
        </w:rPr>
        <w:t xml:space="preserve"> raised regarding the proposal on distribution of proceeds. </w:t>
      </w:r>
      <w:r w:rsidRPr="002B05C5">
        <w:rPr>
          <w:rFonts w:ascii="Times New Roman" w:hAnsi="Times New Roman" w:cs="Times New Roman"/>
          <w:sz w:val="24"/>
          <w:szCs w:val="24"/>
          <w:lang w:val="en-GB"/>
        </w:rPr>
        <w:t xml:space="preserve">The </w:t>
      </w:r>
      <w:r w:rsidR="00783E0F" w:rsidRPr="002B05C5">
        <w:rPr>
          <w:rFonts w:ascii="Times New Roman" w:hAnsi="Times New Roman" w:cs="Times New Roman"/>
          <w:sz w:val="24"/>
          <w:szCs w:val="24"/>
          <w:lang w:val="en-GB"/>
        </w:rPr>
        <w:t>IO</w:t>
      </w:r>
      <w:r w:rsidR="002B05C5" w:rsidRPr="002B05C5">
        <w:rPr>
          <w:rFonts w:ascii="Times New Roman" w:hAnsi="Times New Roman" w:cs="Times New Roman"/>
          <w:sz w:val="24"/>
          <w:szCs w:val="24"/>
          <w:lang w:val="en-GB"/>
        </w:rPr>
        <w:t>H</w:t>
      </w:r>
      <w:r w:rsidRPr="002B05C5">
        <w:rPr>
          <w:rFonts w:ascii="Times New Roman" w:hAnsi="Times New Roman" w:cs="Times New Roman"/>
          <w:sz w:val="24"/>
          <w:szCs w:val="24"/>
          <w:lang w:val="en-GB"/>
        </w:rPr>
        <w:t xml:space="preserve"> is entitled to file an appeal if the remuneration was not awarded in </w:t>
      </w:r>
      <w:r w:rsidR="00E85409" w:rsidRPr="002B05C5">
        <w:rPr>
          <w:rFonts w:ascii="Times New Roman" w:hAnsi="Times New Roman" w:cs="Times New Roman"/>
          <w:sz w:val="24"/>
          <w:szCs w:val="24"/>
          <w:lang w:val="en-GB"/>
        </w:rPr>
        <w:t xml:space="preserve">the </w:t>
      </w:r>
      <w:r w:rsidRPr="002B05C5">
        <w:rPr>
          <w:rFonts w:ascii="Times New Roman" w:hAnsi="Times New Roman" w:cs="Times New Roman"/>
          <w:sz w:val="24"/>
          <w:szCs w:val="24"/>
          <w:lang w:val="en-GB"/>
        </w:rPr>
        <w:t xml:space="preserve">full amount. </w:t>
      </w:r>
    </w:p>
    <w:p w14:paraId="324DAA0D"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There is no spec</w:t>
      </w:r>
      <w:r w:rsidR="00783E0F" w:rsidRPr="002B05C5">
        <w:rPr>
          <w:rFonts w:ascii="Times New Roman" w:hAnsi="Times New Roman" w:cs="Times New Roman"/>
          <w:sz w:val="24"/>
          <w:szCs w:val="24"/>
          <w:lang w:val="en-GB"/>
        </w:rPr>
        <w:t>ial regulation with respect to IOH</w:t>
      </w:r>
      <w:r w:rsidR="00502D94" w:rsidRPr="002B05C5">
        <w:rPr>
          <w:rFonts w:ascii="Times New Roman" w:hAnsi="Times New Roman" w:cs="Times New Roman"/>
          <w:sz w:val="24"/>
          <w:szCs w:val="24"/>
          <w:lang w:val="en-GB"/>
        </w:rPr>
        <w:t>'</w:t>
      </w:r>
      <w:r w:rsidRPr="002B05C5">
        <w:rPr>
          <w:rFonts w:ascii="Times New Roman" w:hAnsi="Times New Roman" w:cs="Times New Roman"/>
          <w:sz w:val="24"/>
          <w:szCs w:val="24"/>
          <w:lang w:val="en-GB"/>
        </w:rPr>
        <w:t xml:space="preserve">s remuneration in </w:t>
      </w:r>
      <w:r w:rsidRPr="002B05C5">
        <w:rPr>
          <w:rFonts w:ascii="Times New Roman" w:hAnsi="Times New Roman" w:cs="Times New Roman"/>
          <w:b/>
          <w:i/>
          <w:sz w:val="24"/>
          <w:szCs w:val="24"/>
          <w:lang w:val="en-GB"/>
        </w:rPr>
        <w:t xml:space="preserve">restructuring </w:t>
      </w:r>
      <w:r w:rsidRPr="002B05C5">
        <w:rPr>
          <w:rFonts w:ascii="Times New Roman" w:hAnsi="Times New Roman" w:cs="Times New Roman"/>
          <w:sz w:val="24"/>
          <w:szCs w:val="24"/>
          <w:lang w:val="en-GB"/>
        </w:rPr>
        <w:t xml:space="preserve">proceedings; such remuneration is subject to the agreement between the </w:t>
      </w:r>
      <w:r w:rsidR="00783E0F" w:rsidRPr="002B05C5">
        <w:rPr>
          <w:rFonts w:ascii="Times New Roman" w:hAnsi="Times New Roman" w:cs="Times New Roman"/>
          <w:sz w:val="24"/>
          <w:szCs w:val="24"/>
          <w:lang w:val="en-GB"/>
        </w:rPr>
        <w:t>IOH</w:t>
      </w:r>
      <w:r w:rsidRPr="002B05C5">
        <w:rPr>
          <w:rFonts w:ascii="Times New Roman" w:hAnsi="Times New Roman" w:cs="Times New Roman"/>
          <w:sz w:val="24"/>
          <w:szCs w:val="24"/>
          <w:lang w:val="en-GB"/>
        </w:rPr>
        <w:t xml:space="preserve"> and the creditors/debtor.</w:t>
      </w:r>
    </w:p>
    <w:p w14:paraId="324DAA0E"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Personal Liability Of IOHs</w:t>
      </w:r>
    </w:p>
    <w:p w14:paraId="324DAA0F" w14:textId="77777777" w:rsidR="004279AC" w:rsidRPr="002B05C5" w:rsidRDefault="004279AC"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A10" w14:textId="77777777" w:rsidR="004015FC" w:rsidRPr="002B05C5" w:rsidRDefault="00495C3C" w:rsidP="00AC5D8A">
      <w:pPr>
        <w:pStyle w:val="Paragraphedeliste"/>
        <w:spacing w:after="100" w:afterAutospacing="1"/>
        <w:ind w:left="720"/>
        <w:contextualSpacing/>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Legislation on </w:t>
      </w:r>
      <w:r w:rsidR="00783E0F" w:rsidRPr="002B05C5">
        <w:rPr>
          <w:rFonts w:ascii="Times New Roman" w:hAnsi="Times New Roman" w:cs="Times New Roman"/>
          <w:sz w:val="24"/>
          <w:szCs w:val="24"/>
          <w:lang w:val="en-GB"/>
        </w:rPr>
        <w:t>IOHs</w:t>
      </w:r>
      <w:r w:rsidRPr="002B05C5">
        <w:rPr>
          <w:rFonts w:ascii="Times New Roman" w:hAnsi="Times New Roman" w:cs="Times New Roman"/>
          <w:sz w:val="24"/>
          <w:szCs w:val="24"/>
          <w:lang w:val="en-GB"/>
        </w:rPr>
        <w:t xml:space="preserve"> defines that an IOH is</w:t>
      </w:r>
      <w:r w:rsidR="004015FC" w:rsidRPr="002B05C5">
        <w:rPr>
          <w:rFonts w:ascii="Times New Roman" w:hAnsi="Times New Roman" w:cs="Times New Roman"/>
          <w:sz w:val="24"/>
          <w:szCs w:val="24"/>
          <w:lang w:val="en-GB"/>
        </w:rPr>
        <w:t xml:space="preserve"> respons</w:t>
      </w:r>
      <w:r w:rsidR="00AC5D8A" w:rsidRPr="002B05C5">
        <w:rPr>
          <w:rFonts w:ascii="Times New Roman" w:hAnsi="Times New Roman" w:cs="Times New Roman"/>
          <w:sz w:val="24"/>
          <w:szCs w:val="24"/>
          <w:lang w:val="en-GB"/>
        </w:rPr>
        <w:t xml:space="preserve">ible for damage caused either </w:t>
      </w:r>
      <w:r w:rsidR="004015FC" w:rsidRPr="002B05C5">
        <w:rPr>
          <w:rFonts w:ascii="Times New Roman" w:hAnsi="Times New Roman" w:cs="Times New Roman"/>
          <w:sz w:val="24"/>
          <w:szCs w:val="24"/>
          <w:lang w:val="en-GB"/>
        </w:rPr>
        <w:t xml:space="preserve">in </w:t>
      </w:r>
      <w:r w:rsidR="002B6F6A" w:rsidRPr="002B05C5">
        <w:rPr>
          <w:rFonts w:ascii="Times New Roman" w:hAnsi="Times New Roman" w:cs="Times New Roman"/>
          <w:sz w:val="24"/>
          <w:szCs w:val="24"/>
          <w:lang w:val="en-GB"/>
        </w:rPr>
        <w:t>connection with performing IOH</w:t>
      </w:r>
      <w:r w:rsidR="00522DEF" w:rsidRPr="002B05C5">
        <w:rPr>
          <w:rFonts w:ascii="Times New Roman" w:hAnsi="Times New Roman" w:cs="Times New Roman"/>
          <w:sz w:val="24"/>
          <w:szCs w:val="24"/>
          <w:lang w:val="en-GB"/>
        </w:rPr>
        <w:t>’s</w:t>
      </w:r>
      <w:r w:rsidR="002B6F6A" w:rsidRPr="002B05C5">
        <w:rPr>
          <w:rFonts w:ascii="Times New Roman" w:hAnsi="Times New Roman" w:cs="Times New Roman"/>
          <w:sz w:val="24"/>
          <w:szCs w:val="24"/>
          <w:lang w:val="en-GB"/>
        </w:rPr>
        <w:t xml:space="preserve"> activities </w:t>
      </w:r>
      <w:r w:rsidR="00AC5D8A" w:rsidRPr="002B05C5">
        <w:rPr>
          <w:rFonts w:ascii="Times New Roman" w:hAnsi="Times New Roman" w:cs="Times New Roman"/>
          <w:sz w:val="24"/>
          <w:szCs w:val="24"/>
          <w:lang w:val="en-GB"/>
        </w:rPr>
        <w:t>personally</w:t>
      </w:r>
      <w:r w:rsidR="00083BB8" w:rsidRPr="002B05C5">
        <w:rPr>
          <w:rFonts w:ascii="Times New Roman" w:hAnsi="Times New Roman" w:cs="Times New Roman"/>
          <w:sz w:val="24"/>
          <w:szCs w:val="24"/>
          <w:lang w:val="en-GB"/>
        </w:rPr>
        <w:t>,</w:t>
      </w:r>
      <w:r w:rsidR="00AC5D8A" w:rsidRPr="002B05C5">
        <w:rPr>
          <w:rFonts w:ascii="Times New Roman" w:hAnsi="Times New Roman" w:cs="Times New Roman"/>
          <w:sz w:val="24"/>
          <w:szCs w:val="24"/>
          <w:lang w:val="en-GB"/>
        </w:rPr>
        <w:t xml:space="preserve"> or </w:t>
      </w:r>
      <w:r w:rsidR="004015FC" w:rsidRPr="002B05C5">
        <w:rPr>
          <w:rFonts w:ascii="Times New Roman" w:hAnsi="Times New Roman" w:cs="Times New Roman"/>
          <w:sz w:val="24"/>
          <w:szCs w:val="24"/>
          <w:lang w:val="en-GB"/>
        </w:rPr>
        <w:t xml:space="preserve">in </w:t>
      </w:r>
      <w:r w:rsidR="002B6F6A" w:rsidRPr="002B05C5">
        <w:rPr>
          <w:rFonts w:ascii="Times New Roman" w:hAnsi="Times New Roman" w:cs="Times New Roman"/>
          <w:sz w:val="24"/>
          <w:szCs w:val="24"/>
          <w:lang w:val="en-GB"/>
        </w:rPr>
        <w:t>connection with performing IOH</w:t>
      </w:r>
      <w:r w:rsidR="00F21021" w:rsidRPr="002B05C5">
        <w:rPr>
          <w:rFonts w:ascii="Times New Roman" w:hAnsi="Times New Roman" w:cs="Times New Roman"/>
          <w:sz w:val="24"/>
          <w:szCs w:val="24"/>
          <w:lang w:val="en-GB"/>
        </w:rPr>
        <w:t>'s</w:t>
      </w:r>
      <w:r w:rsidR="002B6F6A" w:rsidRPr="002B05C5">
        <w:rPr>
          <w:rFonts w:ascii="Times New Roman" w:hAnsi="Times New Roman" w:cs="Times New Roman"/>
          <w:sz w:val="24"/>
          <w:szCs w:val="24"/>
          <w:lang w:val="en-GB"/>
        </w:rPr>
        <w:t xml:space="preserve"> activities </w:t>
      </w:r>
      <w:r w:rsidR="004015FC" w:rsidRPr="002B05C5">
        <w:rPr>
          <w:rFonts w:ascii="Times New Roman" w:hAnsi="Times New Roman" w:cs="Times New Roman"/>
          <w:sz w:val="24"/>
          <w:szCs w:val="24"/>
          <w:lang w:val="en-GB"/>
        </w:rPr>
        <w:t xml:space="preserve">by </w:t>
      </w:r>
      <w:r w:rsidR="002B6F6A" w:rsidRPr="002B05C5">
        <w:rPr>
          <w:rFonts w:ascii="Times New Roman" w:hAnsi="Times New Roman" w:cs="Times New Roman"/>
          <w:sz w:val="24"/>
          <w:szCs w:val="24"/>
          <w:lang w:val="en-GB"/>
        </w:rPr>
        <w:t>an</w:t>
      </w:r>
      <w:r w:rsidR="004015FC" w:rsidRPr="002B05C5">
        <w:rPr>
          <w:rFonts w:ascii="Times New Roman" w:hAnsi="Times New Roman" w:cs="Times New Roman"/>
          <w:sz w:val="24"/>
          <w:szCs w:val="24"/>
          <w:lang w:val="en-GB"/>
        </w:rPr>
        <w:t xml:space="preserve"> employee</w:t>
      </w:r>
      <w:r w:rsidR="002B6F6A" w:rsidRPr="002B05C5">
        <w:rPr>
          <w:rFonts w:ascii="Times New Roman" w:hAnsi="Times New Roman" w:cs="Times New Roman"/>
          <w:sz w:val="24"/>
          <w:szCs w:val="24"/>
          <w:lang w:val="en-GB"/>
        </w:rPr>
        <w:t xml:space="preserve"> of an IOH</w:t>
      </w:r>
      <w:r w:rsidR="004015FC" w:rsidRPr="002B05C5">
        <w:rPr>
          <w:rFonts w:ascii="Times New Roman" w:hAnsi="Times New Roman" w:cs="Times New Roman"/>
          <w:sz w:val="24"/>
          <w:szCs w:val="24"/>
          <w:lang w:val="en-GB"/>
        </w:rPr>
        <w:t xml:space="preserve"> or </w:t>
      </w:r>
      <w:r w:rsidR="002B6F6A" w:rsidRPr="002B05C5">
        <w:rPr>
          <w:rFonts w:ascii="Times New Roman" w:hAnsi="Times New Roman" w:cs="Times New Roman"/>
          <w:sz w:val="24"/>
          <w:szCs w:val="24"/>
          <w:lang w:val="en-GB"/>
        </w:rPr>
        <w:t xml:space="preserve">by a </w:t>
      </w:r>
      <w:r w:rsidR="004015FC" w:rsidRPr="002B05C5">
        <w:rPr>
          <w:rFonts w:ascii="Times New Roman" w:hAnsi="Times New Roman" w:cs="Times New Roman"/>
          <w:sz w:val="24"/>
          <w:szCs w:val="24"/>
          <w:lang w:val="en-GB"/>
        </w:rPr>
        <w:t xml:space="preserve">person </w:t>
      </w:r>
      <w:r w:rsidR="002B6F6A" w:rsidRPr="002B05C5">
        <w:rPr>
          <w:rFonts w:ascii="Times New Roman" w:hAnsi="Times New Roman" w:cs="Times New Roman"/>
          <w:sz w:val="24"/>
          <w:szCs w:val="24"/>
          <w:lang w:val="en-GB"/>
        </w:rPr>
        <w:t>entrusted with</w:t>
      </w:r>
      <w:r w:rsidR="004015FC" w:rsidRPr="002B05C5">
        <w:rPr>
          <w:rFonts w:ascii="Times New Roman" w:hAnsi="Times New Roman" w:cs="Times New Roman"/>
          <w:sz w:val="24"/>
          <w:szCs w:val="24"/>
          <w:lang w:val="en-GB"/>
        </w:rPr>
        <w:t xml:space="preserve"> perform</w:t>
      </w:r>
      <w:r w:rsidR="002B6F6A" w:rsidRPr="002B05C5">
        <w:rPr>
          <w:rFonts w:ascii="Times New Roman" w:hAnsi="Times New Roman" w:cs="Times New Roman"/>
          <w:sz w:val="24"/>
          <w:szCs w:val="24"/>
          <w:lang w:val="en-GB"/>
        </w:rPr>
        <w:t>ing</w:t>
      </w:r>
      <w:r w:rsidR="004015FC" w:rsidRPr="002B05C5">
        <w:rPr>
          <w:rFonts w:ascii="Times New Roman" w:hAnsi="Times New Roman" w:cs="Times New Roman"/>
          <w:sz w:val="24"/>
          <w:szCs w:val="24"/>
          <w:lang w:val="en-GB"/>
        </w:rPr>
        <w:t xml:space="preserve"> individual act</w:t>
      </w:r>
      <w:r w:rsidR="002B6F6A" w:rsidRPr="002B05C5">
        <w:rPr>
          <w:rFonts w:ascii="Times New Roman" w:hAnsi="Times New Roman" w:cs="Times New Roman"/>
          <w:sz w:val="24"/>
          <w:szCs w:val="24"/>
          <w:lang w:val="en-GB"/>
        </w:rPr>
        <w:t>ion</w:t>
      </w:r>
      <w:r w:rsidR="004015FC" w:rsidRPr="002B05C5">
        <w:rPr>
          <w:rFonts w:ascii="Times New Roman" w:hAnsi="Times New Roman" w:cs="Times New Roman"/>
          <w:sz w:val="24"/>
          <w:szCs w:val="24"/>
          <w:lang w:val="en-GB"/>
        </w:rPr>
        <w:t>s related to IOH</w:t>
      </w:r>
      <w:r w:rsidR="00F21021" w:rsidRPr="002B05C5">
        <w:rPr>
          <w:rFonts w:ascii="Times New Roman" w:hAnsi="Times New Roman" w:cs="Times New Roman"/>
          <w:sz w:val="24"/>
          <w:szCs w:val="24"/>
          <w:lang w:val="en-GB"/>
        </w:rPr>
        <w:t>'s</w:t>
      </w:r>
      <w:r w:rsidR="004015FC" w:rsidRPr="002B05C5">
        <w:rPr>
          <w:rFonts w:ascii="Times New Roman" w:hAnsi="Times New Roman" w:cs="Times New Roman"/>
          <w:sz w:val="24"/>
          <w:szCs w:val="24"/>
          <w:lang w:val="en-GB"/>
        </w:rPr>
        <w:t xml:space="preserve"> activities.</w:t>
      </w:r>
    </w:p>
    <w:p w14:paraId="324DAA11" w14:textId="77777777" w:rsidR="0027110D" w:rsidRPr="002B05C5" w:rsidRDefault="0027110D" w:rsidP="0027110D">
      <w:pPr>
        <w:pStyle w:val="Paragraphedeliste"/>
        <w:spacing w:after="100" w:afterAutospacing="1"/>
        <w:ind w:left="1800"/>
        <w:contextualSpacing/>
        <w:jc w:val="both"/>
        <w:rPr>
          <w:rFonts w:ascii="Times New Roman" w:hAnsi="Times New Roman" w:cs="Times New Roman"/>
          <w:sz w:val="24"/>
          <w:szCs w:val="24"/>
          <w:lang w:val="en-GB"/>
        </w:rPr>
      </w:pPr>
    </w:p>
    <w:p w14:paraId="324DAA12" w14:textId="77777777" w:rsidR="004015FC" w:rsidRPr="002B05C5" w:rsidRDefault="003413AB"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Release Of IOHs f</w:t>
      </w:r>
      <w:r w:rsidR="004015FC" w:rsidRPr="002B05C5">
        <w:rPr>
          <w:rFonts w:ascii="Times New Roman" w:hAnsi="Times New Roman" w:cs="Times New Roman"/>
          <w:b/>
          <w:sz w:val="28"/>
          <w:szCs w:val="28"/>
          <w:lang w:val="en-GB"/>
        </w:rPr>
        <w:t>rom Liability</w:t>
      </w:r>
    </w:p>
    <w:p w14:paraId="324DAA13" w14:textId="77777777" w:rsidR="000E3898" w:rsidRPr="002B05C5" w:rsidRDefault="000E3898" w:rsidP="0027110D">
      <w:pPr>
        <w:pStyle w:val="Paragraphedeliste"/>
        <w:spacing w:after="100" w:afterAutospacing="1"/>
        <w:ind w:left="720"/>
        <w:contextualSpacing/>
        <w:jc w:val="both"/>
        <w:rPr>
          <w:rFonts w:ascii="Times New Roman" w:hAnsi="Times New Roman" w:cs="Times New Roman"/>
          <w:b/>
          <w:sz w:val="24"/>
          <w:szCs w:val="24"/>
          <w:lang w:val="en-GB"/>
        </w:rPr>
      </w:pPr>
    </w:p>
    <w:p w14:paraId="324DAA14" w14:textId="77777777" w:rsidR="004015FC" w:rsidRPr="002B05C5"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According to the Act on IOHs, an IOH can be released from liability </w:t>
      </w:r>
      <w:r w:rsidR="00F21021" w:rsidRPr="002B05C5">
        <w:rPr>
          <w:rFonts w:ascii="Times New Roman" w:hAnsi="Times New Roman" w:cs="Times New Roman"/>
          <w:sz w:val="24"/>
          <w:szCs w:val="24"/>
          <w:lang w:val="en-GB"/>
        </w:rPr>
        <w:t>provided</w:t>
      </w:r>
      <w:r w:rsidRPr="002B05C5">
        <w:rPr>
          <w:rFonts w:ascii="Times New Roman" w:hAnsi="Times New Roman" w:cs="Times New Roman"/>
          <w:sz w:val="24"/>
          <w:szCs w:val="24"/>
          <w:lang w:val="en-GB"/>
        </w:rPr>
        <w:t xml:space="preserve"> he proves that he could not have prevented the damage by any means even </w:t>
      </w:r>
      <w:r w:rsidR="002D23EA" w:rsidRPr="002B05C5">
        <w:rPr>
          <w:rFonts w:ascii="Times New Roman" w:hAnsi="Times New Roman" w:cs="Times New Roman"/>
          <w:sz w:val="24"/>
          <w:szCs w:val="24"/>
          <w:lang w:val="en-GB"/>
        </w:rPr>
        <w:t xml:space="preserve">when </w:t>
      </w:r>
      <w:r w:rsidR="00F21021" w:rsidRPr="002B05C5">
        <w:rPr>
          <w:rFonts w:ascii="Times New Roman" w:hAnsi="Times New Roman" w:cs="Times New Roman"/>
          <w:sz w:val="24"/>
          <w:szCs w:val="24"/>
          <w:lang w:val="en-GB"/>
        </w:rPr>
        <w:t>exercising</w:t>
      </w:r>
      <w:r w:rsidRPr="002B05C5">
        <w:rPr>
          <w:rFonts w:ascii="Times New Roman" w:hAnsi="Times New Roman" w:cs="Times New Roman"/>
          <w:sz w:val="24"/>
          <w:szCs w:val="24"/>
          <w:lang w:val="en-GB"/>
        </w:rPr>
        <w:t xml:space="preserve"> all effort</w:t>
      </w:r>
      <w:r w:rsidR="00F21021" w:rsidRPr="002B05C5">
        <w:rPr>
          <w:rFonts w:ascii="Times New Roman" w:hAnsi="Times New Roman" w:cs="Times New Roman"/>
          <w:sz w:val="24"/>
          <w:szCs w:val="24"/>
          <w:lang w:val="en-GB"/>
        </w:rPr>
        <w:t>.</w:t>
      </w:r>
    </w:p>
    <w:p w14:paraId="324DAA15" w14:textId="77777777" w:rsidR="004015FC" w:rsidRPr="002B05C5" w:rsidRDefault="002D23EA"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 xml:space="preserve">The </w:t>
      </w:r>
      <w:r w:rsidR="004015FC" w:rsidRPr="002B05C5">
        <w:rPr>
          <w:rFonts w:ascii="Times New Roman" w:hAnsi="Times New Roman" w:cs="Times New Roman"/>
          <w:sz w:val="24"/>
          <w:szCs w:val="24"/>
          <w:lang w:val="en-GB"/>
        </w:rPr>
        <w:t xml:space="preserve">Act on Bankruptcy </w:t>
      </w:r>
      <w:r w:rsidR="00F21021" w:rsidRPr="002B05C5">
        <w:rPr>
          <w:rFonts w:ascii="Times New Roman" w:hAnsi="Times New Roman" w:cs="Times New Roman"/>
          <w:sz w:val="24"/>
          <w:szCs w:val="24"/>
          <w:lang w:val="en-GB"/>
        </w:rPr>
        <w:t xml:space="preserve">and Restructuring </w:t>
      </w:r>
      <w:r w:rsidR="004015FC" w:rsidRPr="002B05C5">
        <w:rPr>
          <w:rFonts w:ascii="Times New Roman" w:hAnsi="Times New Roman" w:cs="Times New Roman"/>
          <w:sz w:val="24"/>
          <w:szCs w:val="24"/>
          <w:lang w:val="en-GB"/>
        </w:rPr>
        <w:t>specifies</w:t>
      </w:r>
      <w:r w:rsidR="00F21021" w:rsidRPr="002B05C5">
        <w:rPr>
          <w:rFonts w:ascii="Times New Roman" w:hAnsi="Times New Roman" w:cs="Times New Roman"/>
          <w:sz w:val="24"/>
          <w:szCs w:val="24"/>
          <w:lang w:val="en-GB"/>
        </w:rPr>
        <w:t xml:space="preserve"> further</w:t>
      </w:r>
      <w:r w:rsidR="004015FC" w:rsidRPr="002B05C5">
        <w:rPr>
          <w:rFonts w:ascii="Times New Roman" w:hAnsi="Times New Roman" w:cs="Times New Roman"/>
          <w:sz w:val="24"/>
          <w:szCs w:val="24"/>
          <w:lang w:val="en-GB"/>
        </w:rPr>
        <w:t xml:space="preserve"> that an IOH is liable to creditors as well as to other persons for damage which </w:t>
      </w:r>
      <w:r w:rsidR="00F21021" w:rsidRPr="002B05C5">
        <w:rPr>
          <w:rFonts w:ascii="Times New Roman" w:hAnsi="Times New Roman" w:cs="Times New Roman"/>
          <w:sz w:val="24"/>
          <w:szCs w:val="24"/>
          <w:lang w:val="en-GB"/>
        </w:rPr>
        <w:t>has been</w:t>
      </w:r>
      <w:r w:rsidR="004015FC" w:rsidRPr="002B05C5">
        <w:rPr>
          <w:rFonts w:ascii="Times New Roman" w:hAnsi="Times New Roman" w:cs="Times New Roman"/>
          <w:sz w:val="24"/>
          <w:szCs w:val="24"/>
          <w:lang w:val="en-GB"/>
        </w:rPr>
        <w:t xml:space="preserve"> caused by inappropriate and inefficient investments into administration, inefficient </w:t>
      </w:r>
      <w:r w:rsidRPr="002B05C5">
        <w:rPr>
          <w:rFonts w:ascii="Times New Roman" w:hAnsi="Times New Roman" w:cs="Times New Roman"/>
          <w:sz w:val="24"/>
          <w:szCs w:val="24"/>
          <w:lang w:val="en-GB"/>
        </w:rPr>
        <w:t>liquidation</w:t>
      </w:r>
      <w:r w:rsidR="004015FC" w:rsidRPr="002B05C5">
        <w:rPr>
          <w:rFonts w:ascii="Times New Roman" w:hAnsi="Times New Roman" w:cs="Times New Roman"/>
          <w:sz w:val="24"/>
          <w:szCs w:val="24"/>
          <w:lang w:val="en-GB"/>
        </w:rPr>
        <w:t xml:space="preserve"> of assets or</w:t>
      </w:r>
      <w:r w:rsidRPr="002B05C5">
        <w:rPr>
          <w:rFonts w:ascii="Times New Roman" w:hAnsi="Times New Roman" w:cs="Times New Roman"/>
          <w:sz w:val="24"/>
          <w:szCs w:val="24"/>
          <w:lang w:val="en-GB"/>
        </w:rPr>
        <w:t xml:space="preserve"> managing enterprise,</w:t>
      </w:r>
      <w:r w:rsidR="004015FC" w:rsidRPr="002B05C5">
        <w:rPr>
          <w:rFonts w:ascii="Times New Roman" w:hAnsi="Times New Roman" w:cs="Times New Roman"/>
          <w:sz w:val="24"/>
          <w:szCs w:val="24"/>
          <w:lang w:val="en-GB"/>
        </w:rPr>
        <w:t xml:space="preserve"> unless he proves that he acted with professional</w:t>
      </w:r>
      <w:r w:rsidRPr="002B05C5">
        <w:rPr>
          <w:rFonts w:ascii="Times New Roman" w:hAnsi="Times New Roman" w:cs="Times New Roman"/>
          <w:sz w:val="24"/>
          <w:szCs w:val="24"/>
          <w:lang w:val="en-GB"/>
        </w:rPr>
        <w:t xml:space="preserve"> due</w:t>
      </w:r>
      <w:r w:rsidR="004015FC" w:rsidRPr="002B05C5">
        <w:rPr>
          <w:rFonts w:ascii="Times New Roman" w:hAnsi="Times New Roman" w:cs="Times New Roman"/>
          <w:sz w:val="24"/>
          <w:szCs w:val="24"/>
          <w:lang w:val="en-GB"/>
        </w:rPr>
        <w:t xml:space="preserve"> care.</w:t>
      </w:r>
    </w:p>
    <w:p w14:paraId="324DAA16" w14:textId="77777777" w:rsidR="004015FC" w:rsidRPr="002B05C5" w:rsidRDefault="004015FC" w:rsidP="0027110D">
      <w:pPr>
        <w:pStyle w:val="Paragraphedeliste"/>
        <w:numPr>
          <w:ilvl w:val="0"/>
          <w:numId w:val="9"/>
        </w:numPr>
        <w:spacing w:after="100" w:afterAutospacing="1"/>
        <w:contextualSpacing/>
        <w:jc w:val="both"/>
        <w:rPr>
          <w:rFonts w:ascii="Times New Roman" w:hAnsi="Times New Roman" w:cs="Times New Roman"/>
          <w:b/>
          <w:sz w:val="28"/>
          <w:szCs w:val="28"/>
          <w:lang w:val="en-GB"/>
        </w:rPr>
      </w:pPr>
      <w:r w:rsidRPr="002B05C5">
        <w:rPr>
          <w:rFonts w:ascii="Times New Roman" w:hAnsi="Times New Roman" w:cs="Times New Roman"/>
          <w:b/>
          <w:sz w:val="28"/>
          <w:szCs w:val="28"/>
          <w:lang w:val="en-GB"/>
        </w:rPr>
        <w:t>Independence</w:t>
      </w:r>
    </w:p>
    <w:p w14:paraId="324DAA17" w14:textId="77777777" w:rsidR="005F43E8" w:rsidRPr="002B05C5" w:rsidRDefault="005F43E8" w:rsidP="0027110D">
      <w:pPr>
        <w:pStyle w:val="Paragraphedeliste"/>
        <w:spacing w:after="100" w:afterAutospacing="1"/>
        <w:ind w:left="720"/>
        <w:contextualSpacing/>
        <w:jc w:val="both"/>
        <w:rPr>
          <w:rFonts w:ascii="Times New Roman" w:hAnsi="Times New Roman" w:cs="Times New Roman"/>
          <w:sz w:val="24"/>
          <w:szCs w:val="24"/>
          <w:lang w:val="en-GB"/>
        </w:rPr>
      </w:pPr>
    </w:p>
    <w:p w14:paraId="324DAA18" w14:textId="77777777" w:rsidR="00310457" w:rsidRDefault="004015FC" w:rsidP="0027110D">
      <w:pPr>
        <w:pStyle w:val="Paragraphedeliste"/>
        <w:spacing w:after="100" w:afterAutospacing="1"/>
        <w:jc w:val="both"/>
        <w:rPr>
          <w:rFonts w:ascii="Times New Roman" w:hAnsi="Times New Roman" w:cs="Times New Roman"/>
          <w:sz w:val="24"/>
          <w:szCs w:val="24"/>
          <w:lang w:val="en-GB"/>
        </w:rPr>
      </w:pPr>
      <w:r w:rsidRPr="002B05C5">
        <w:rPr>
          <w:rFonts w:ascii="Times New Roman" w:hAnsi="Times New Roman" w:cs="Times New Roman"/>
          <w:sz w:val="24"/>
          <w:szCs w:val="24"/>
          <w:lang w:val="en-GB"/>
        </w:rPr>
        <w:t>IOH</w:t>
      </w:r>
      <w:r w:rsidR="00E81C5F" w:rsidRPr="002B05C5">
        <w:rPr>
          <w:rFonts w:ascii="Times New Roman" w:hAnsi="Times New Roman" w:cs="Times New Roman"/>
          <w:sz w:val="24"/>
          <w:szCs w:val="24"/>
          <w:lang w:val="en-GB"/>
        </w:rPr>
        <w:t>s are obliged to perform their</w:t>
      </w:r>
      <w:r w:rsidRPr="002B05C5">
        <w:rPr>
          <w:rFonts w:ascii="Times New Roman" w:hAnsi="Times New Roman" w:cs="Times New Roman"/>
          <w:sz w:val="24"/>
          <w:szCs w:val="24"/>
          <w:lang w:val="en-GB"/>
        </w:rPr>
        <w:t xml:space="preserve"> duties independently and impartially. IOH</w:t>
      </w:r>
      <w:r w:rsidR="00E81C5F" w:rsidRPr="002B05C5">
        <w:rPr>
          <w:rFonts w:ascii="Times New Roman" w:hAnsi="Times New Roman" w:cs="Times New Roman"/>
          <w:sz w:val="24"/>
          <w:szCs w:val="24"/>
          <w:lang w:val="en-GB"/>
        </w:rPr>
        <w:t>s</w:t>
      </w:r>
      <w:r w:rsidRPr="002B05C5">
        <w:rPr>
          <w:rFonts w:ascii="Times New Roman" w:hAnsi="Times New Roman" w:cs="Times New Roman"/>
          <w:sz w:val="24"/>
          <w:szCs w:val="24"/>
          <w:lang w:val="en-GB"/>
        </w:rPr>
        <w:t xml:space="preserve"> </w:t>
      </w:r>
      <w:r w:rsidR="00E81C5F" w:rsidRPr="002B05C5">
        <w:rPr>
          <w:rFonts w:ascii="Times New Roman" w:hAnsi="Times New Roman" w:cs="Times New Roman"/>
          <w:sz w:val="24"/>
          <w:szCs w:val="24"/>
          <w:lang w:val="en-GB"/>
        </w:rPr>
        <w:t>are</w:t>
      </w:r>
      <w:r w:rsidRPr="002B05C5">
        <w:rPr>
          <w:rFonts w:ascii="Times New Roman" w:hAnsi="Times New Roman" w:cs="Times New Roman"/>
          <w:sz w:val="24"/>
          <w:szCs w:val="24"/>
          <w:lang w:val="en-GB"/>
        </w:rPr>
        <w:t xml:space="preserve"> not allowed to accept any gift</w:t>
      </w:r>
      <w:r w:rsidR="00E81C5F" w:rsidRPr="002B05C5">
        <w:rPr>
          <w:rFonts w:ascii="Times New Roman" w:hAnsi="Times New Roman" w:cs="Times New Roman"/>
          <w:sz w:val="24"/>
          <w:szCs w:val="24"/>
          <w:lang w:val="en-GB"/>
        </w:rPr>
        <w:t>s</w:t>
      </w:r>
      <w:r w:rsidRPr="002B05C5">
        <w:rPr>
          <w:rFonts w:ascii="Times New Roman" w:hAnsi="Times New Roman" w:cs="Times New Roman"/>
          <w:sz w:val="24"/>
          <w:szCs w:val="24"/>
          <w:lang w:val="en-GB"/>
        </w:rPr>
        <w:t xml:space="preserve"> or advantage</w:t>
      </w:r>
      <w:r w:rsidR="00E81C5F" w:rsidRPr="002B05C5">
        <w:rPr>
          <w:rFonts w:ascii="Times New Roman" w:hAnsi="Times New Roman" w:cs="Times New Roman"/>
          <w:sz w:val="24"/>
          <w:szCs w:val="24"/>
          <w:lang w:val="en-GB"/>
        </w:rPr>
        <w:t>s</w:t>
      </w:r>
      <w:r w:rsidRPr="002B05C5">
        <w:rPr>
          <w:rFonts w:ascii="Times New Roman" w:hAnsi="Times New Roman" w:cs="Times New Roman"/>
          <w:sz w:val="24"/>
          <w:szCs w:val="24"/>
          <w:lang w:val="en-GB"/>
        </w:rPr>
        <w:t xml:space="preserve"> from a person involved in the case. </w:t>
      </w:r>
    </w:p>
    <w:p w14:paraId="324DAA19" w14:textId="77777777" w:rsidR="00D52444" w:rsidRPr="002B05C5" w:rsidRDefault="004015FC" w:rsidP="00201D33">
      <w:pPr>
        <w:pStyle w:val="Paragraphedeliste"/>
        <w:spacing w:after="100" w:afterAutospacing="1"/>
        <w:jc w:val="both"/>
        <w:rPr>
          <w:szCs w:val="24"/>
          <w:lang w:val="en-GB"/>
        </w:rPr>
      </w:pPr>
      <w:r w:rsidRPr="002B05C5">
        <w:rPr>
          <w:rFonts w:ascii="Times New Roman" w:hAnsi="Times New Roman" w:cs="Times New Roman"/>
          <w:sz w:val="24"/>
          <w:szCs w:val="24"/>
          <w:lang w:val="en-GB"/>
        </w:rPr>
        <w:t>IOH</w:t>
      </w:r>
      <w:r w:rsidR="00E81C5F" w:rsidRPr="002B05C5">
        <w:rPr>
          <w:rFonts w:ascii="Times New Roman" w:hAnsi="Times New Roman" w:cs="Times New Roman"/>
          <w:sz w:val="24"/>
          <w:szCs w:val="24"/>
          <w:lang w:val="en-GB"/>
        </w:rPr>
        <w:t>s</w:t>
      </w:r>
      <w:r w:rsidRPr="002B05C5">
        <w:rPr>
          <w:rFonts w:ascii="Times New Roman" w:hAnsi="Times New Roman" w:cs="Times New Roman"/>
          <w:sz w:val="24"/>
          <w:szCs w:val="24"/>
          <w:lang w:val="en-GB"/>
        </w:rPr>
        <w:t xml:space="preserve"> </w:t>
      </w:r>
      <w:r w:rsidR="00310457">
        <w:rPr>
          <w:rFonts w:ascii="Times New Roman" w:hAnsi="Times New Roman" w:cs="Times New Roman"/>
          <w:sz w:val="24"/>
          <w:szCs w:val="24"/>
          <w:lang w:val="en-GB"/>
        </w:rPr>
        <w:t>shall</w:t>
      </w:r>
      <w:r w:rsidRPr="002B05C5">
        <w:rPr>
          <w:rFonts w:ascii="Times New Roman" w:hAnsi="Times New Roman" w:cs="Times New Roman"/>
          <w:sz w:val="24"/>
          <w:szCs w:val="24"/>
          <w:lang w:val="en-GB"/>
        </w:rPr>
        <w:t xml:space="preserve"> refuse any gift or any other advantage from a </w:t>
      </w:r>
      <w:r w:rsidR="00310457">
        <w:rPr>
          <w:rFonts w:ascii="Times New Roman" w:hAnsi="Times New Roman" w:cs="Times New Roman"/>
          <w:sz w:val="24"/>
          <w:szCs w:val="24"/>
          <w:lang w:val="en-GB"/>
        </w:rPr>
        <w:t xml:space="preserve">third </w:t>
      </w:r>
      <w:r w:rsidRPr="002B05C5">
        <w:rPr>
          <w:rFonts w:ascii="Times New Roman" w:hAnsi="Times New Roman" w:cs="Times New Roman"/>
          <w:sz w:val="24"/>
          <w:szCs w:val="24"/>
          <w:lang w:val="en-GB"/>
        </w:rPr>
        <w:t xml:space="preserve">person, if </w:t>
      </w:r>
      <w:r w:rsidR="00E81C5F" w:rsidRPr="002B05C5">
        <w:rPr>
          <w:rFonts w:ascii="Times New Roman" w:hAnsi="Times New Roman" w:cs="Times New Roman"/>
          <w:sz w:val="24"/>
          <w:szCs w:val="24"/>
          <w:lang w:val="en-GB"/>
        </w:rPr>
        <w:t xml:space="preserve">it </w:t>
      </w:r>
      <w:r w:rsidR="00310457">
        <w:rPr>
          <w:rFonts w:ascii="Times New Roman" w:hAnsi="Times New Roman" w:cs="Times New Roman"/>
          <w:sz w:val="24"/>
          <w:szCs w:val="24"/>
          <w:lang w:val="en-GB"/>
        </w:rPr>
        <w:t>could</w:t>
      </w:r>
      <w:r w:rsidR="00E81C5F" w:rsidRPr="002B05C5">
        <w:rPr>
          <w:rFonts w:ascii="Times New Roman" w:hAnsi="Times New Roman" w:cs="Times New Roman"/>
          <w:sz w:val="24"/>
          <w:szCs w:val="24"/>
          <w:lang w:val="en-GB"/>
        </w:rPr>
        <w:t xml:space="preserve"> be</w:t>
      </w:r>
      <w:r w:rsidRPr="002B05C5">
        <w:rPr>
          <w:rFonts w:ascii="Times New Roman" w:hAnsi="Times New Roman" w:cs="Times New Roman"/>
          <w:sz w:val="24"/>
          <w:szCs w:val="24"/>
          <w:lang w:val="en-GB"/>
        </w:rPr>
        <w:t xml:space="preserve"> reasonably assume</w:t>
      </w:r>
      <w:r w:rsidR="00E81C5F" w:rsidRPr="002B05C5">
        <w:rPr>
          <w:rFonts w:ascii="Times New Roman" w:hAnsi="Times New Roman" w:cs="Times New Roman"/>
          <w:sz w:val="24"/>
          <w:szCs w:val="24"/>
          <w:lang w:val="en-GB"/>
        </w:rPr>
        <w:t>d</w:t>
      </w:r>
      <w:r w:rsidRPr="002B05C5">
        <w:rPr>
          <w:rFonts w:ascii="Times New Roman" w:hAnsi="Times New Roman" w:cs="Times New Roman"/>
          <w:sz w:val="24"/>
          <w:szCs w:val="24"/>
          <w:lang w:val="en-GB"/>
        </w:rPr>
        <w:t xml:space="preserve"> that it has been provided by this person with </w:t>
      </w:r>
      <w:r w:rsidR="00E81C5F" w:rsidRPr="002B05C5">
        <w:rPr>
          <w:rFonts w:ascii="Times New Roman" w:hAnsi="Times New Roman" w:cs="Times New Roman"/>
          <w:sz w:val="24"/>
          <w:szCs w:val="24"/>
          <w:lang w:val="en-GB"/>
        </w:rPr>
        <w:t xml:space="preserve">the </w:t>
      </w:r>
      <w:r w:rsidRPr="002B05C5">
        <w:rPr>
          <w:rFonts w:ascii="Times New Roman" w:hAnsi="Times New Roman" w:cs="Times New Roman"/>
          <w:sz w:val="24"/>
          <w:szCs w:val="24"/>
          <w:lang w:val="en-GB"/>
        </w:rPr>
        <w:t>intent</w:t>
      </w:r>
      <w:r w:rsidR="00310457">
        <w:rPr>
          <w:rFonts w:ascii="Times New Roman" w:hAnsi="Times New Roman" w:cs="Times New Roman"/>
          <w:sz w:val="24"/>
          <w:szCs w:val="24"/>
          <w:lang w:val="en-GB"/>
        </w:rPr>
        <w:t>ion</w:t>
      </w:r>
      <w:r w:rsidRPr="002B05C5">
        <w:rPr>
          <w:rFonts w:ascii="Times New Roman" w:hAnsi="Times New Roman" w:cs="Times New Roman"/>
          <w:sz w:val="24"/>
          <w:szCs w:val="24"/>
          <w:lang w:val="en-GB"/>
        </w:rPr>
        <w:t xml:space="preserve"> to influence </w:t>
      </w:r>
      <w:r w:rsidR="00E81C5F" w:rsidRPr="002B05C5">
        <w:rPr>
          <w:rFonts w:ascii="Times New Roman" w:hAnsi="Times New Roman" w:cs="Times New Roman"/>
          <w:sz w:val="24"/>
          <w:szCs w:val="24"/>
          <w:lang w:val="en-GB"/>
        </w:rPr>
        <w:t>the</w:t>
      </w:r>
      <w:r w:rsidRPr="002B05C5">
        <w:rPr>
          <w:rFonts w:ascii="Times New Roman" w:hAnsi="Times New Roman" w:cs="Times New Roman"/>
          <w:sz w:val="24"/>
          <w:szCs w:val="24"/>
          <w:lang w:val="en-GB"/>
        </w:rPr>
        <w:t xml:space="preserve"> impartiality</w:t>
      </w:r>
      <w:r w:rsidR="00E81C5F" w:rsidRPr="002B05C5">
        <w:rPr>
          <w:rFonts w:ascii="Times New Roman" w:hAnsi="Times New Roman" w:cs="Times New Roman"/>
          <w:sz w:val="24"/>
          <w:szCs w:val="24"/>
          <w:lang w:val="en-GB"/>
        </w:rPr>
        <w:t xml:space="preserve"> of an IO</w:t>
      </w:r>
      <w:r w:rsidR="002B05C5" w:rsidRPr="002B05C5">
        <w:rPr>
          <w:rFonts w:ascii="Times New Roman" w:hAnsi="Times New Roman" w:cs="Times New Roman"/>
          <w:sz w:val="24"/>
          <w:szCs w:val="24"/>
          <w:lang w:val="en-GB"/>
        </w:rPr>
        <w:t>H</w:t>
      </w:r>
      <w:r w:rsidRPr="002B05C5">
        <w:rPr>
          <w:rFonts w:ascii="Times New Roman" w:hAnsi="Times New Roman" w:cs="Times New Roman"/>
          <w:sz w:val="24"/>
          <w:szCs w:val="24"/>
          <w:lang w:val="en-GB"/>
        </w:rPr>
        <w:t xml:space="preserve"> in terms of </w:t>
      </w:r>
      <w:r w:rsidR="00E81C5F" w:rsidRPr="002B05C5">
        <w:rPr>
          <w:rFonts w:ascii="Times New Roman" w:hAnsi="Times New Roman" w:cs="Times New Roman"/>
          <w:sz w:val="24"/>
          <w:szCs w:val="24"/>
          <w:lang w:val="en-GB"/>
        </w:rPr>
        <w:t xml:space="preserve">making </w:t>
      </w:r>
      <w:r w:rsidRPr="002B05C5">
        <w:rPr>
          <w:rFonts w:ascii="Times New Roman" w:hAnsi="Times New Roman" w:cs="Times New Roman"/>
          <w:sz w:val="24"/>
          <w:szCs w:val="24"/>
          <w:lang w:val="en-GB"/>
        </w:rPr>
        <w:t>decision</w:t>
      </w:r>
      <w:r w:rsidR="00E81C5F" w:rsidRPr="002B05C5">
        <w:rPr>
          <w:rFonts w:ascii="Times New Roman" w:hAnsi="Times New Roman" w:cs="Times New Roman"/>
          <w:sz w:val="24"/>
          <w:szCs w:val="24"/>
          <w:lang w:val="en-GB"/>
        </w:rPr>
        <w:t xml:space="preserve">s or forming </w:t>
      </w:r>
      <w:r w:rsidR="00310457">
        <w:rPr>
          <w:rFonts w:ascii="Times New Roman" w:hAnsi="Times New Roman" w:cs="Times New Roman"/>
          <w:sz w:val="24"/>
          <w:szCs w:val="24"/>
          <w:lang w:val="en-GB"/>
        </w:rPr>
        <w:t xml:space="preserve">its </w:t>
      </w:r>
      <w:r w:rsidR="00E81C5F" w:rsidRPr="002B05C5">
        <w:rPr>
          <w:rFonts w:ascii="Times New Roman" w:hAnsi="Times New Roman" w:cs="Times New Roman"/>
          <w:sz w:val="24"/>
          <w:szCs w:val="24"/>
          <w:lang w:val="en-GB"/>
        </w:rPr>
        <w:t>opinions</w:t>
      </w:r>
      <w:r w:rsidRPr="002B05C5">
        <w:rPr>
          <w:rFonts w:ascii="Times New Roman" w:hAnsi="Times New Roman" w:cs="Times New Roman"/>
          <w:sz w:val="24"/>
          <w:szCs w:val="24"/>
          <w:lang w:val="en-GB"/>
        </w:rPr>
        <w:t xml:space="preserve">.  </w:t>
      </w:r>
    </w:p>
    <w:sectPr w:rsidR="00D52444" w:rsidRPr="002B05C5" w:rsidSect="00D226D1">
      <w:headerReference w:type="even" r:id="rId7"/>
      <w:headerReference w:type="default" r:id="rId8"/>
      <w:footerReference w:type="even" r:id="rId9"/>
      <w:footerReference w:type="default" r:id="rId10"/>
      <w:headerReference w:type="first" r:id="rId11"/>
      <w:footerReference w:type="first" r:id="rId12"/>
      <w:pgSz w:w="11906" w:h="16838"/>
      <w:pgMar w:top="1702" w:right="1418" w:bottom="1418" w:left="1418" w:header="720"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DAA1C" w14:textId="77777777" w:rsidR="00EF7786" w:rsidRDefault="00EF7786">
      <w:r>
        <w:separator/>
      </w:r>
    </w:p>
  </w:endnote>
  <w:endnote w:type="continuationSeparator" w:id="0">
    <w:p w14:paraId="324DAA1D" w14:textId="77777777" w:rsidR="00EF7786" w:rsidRDefault="00EF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AA20" w14:textId="77777777" w:rsidR="00D52444" w:rsidRDefault="009E29C6">
    <w:pPr>
      <w:pStyle w:val="Pieddepage"/>
      <w:framePr w:wrap="around" w:vAnchor="text" w:hAnchor="margin" w:xAlign="right" w:y="1"/>
      <w:rPr>
        <w:rStyle w:val="Numrodepage"/>
      </w:rPr>
    </w:pPr>
    <w:r>
      <w:rPr>
        <w:rStyle w:val="Numrodepage"/>
      </w:rPr>
      <w:fldChar w:fldCharType="begin"/>
    </w:r>
    <w:r w:rsidR="00D52444">
      <w:rPr>
        <w:rStyle w:val="Numrodepage"/>
      </w:rPr>
      <w:instrText xml:space="preserve">PAGE  </w:instrText>
    </w:r>
    <w:r>
      <w:rPr>
        <w:rStyle w:val="Numrodepage"/>
      </w:rPr>
      <w:fldChar w:fldCharType="end"/>
    </w:r>
  </w:p>
  <w:p w14:paraId="324DAA21" w14:textId="77777777" w:rsidR="00D52444" w:rsidRDefault="00D524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AA22" w14:textId="140C5D8F" w:rsidR="00D52444" w:rsidRDefault="009E29C6">
    <w:pPr>
      <w:pStyle w:val="Pieddepage"/>
      <w:framePr w:wrap="around" w:vAnchor="text" w:hAnchor="margin" w:xAlign="right" w:y="1"/>
      <w:rPr>
        <w:rStyle w:val="Numrodepage"/>
      </w:rPr>
    </w:pPr>
    <w:r>
      <w:rPr>
        <w:rStyle w:val="Numrodepage"/>
      </w:rPr>
      <w:fldChar w:fldCharType="begin"/>
    </w:r>
    <w:r w:rsidR="00D52444">
      <w:rPr>
        <w:rStyle w:val="Numrodepage"/>
      </w:rPr>
      <w:instrText xml:space="preserve">PAGE  </w:instrText>
    </w:r>
    <w:r>
      <w:rPr>
        <w:rStyle w:val="Numrodepage"/>
      </w:rPr>
      <w:fldChar w:fldCharType="separate"/>
    </w:r>
    <w:r w:rsidR="0036109A">
      <w:rPr>
        <w:rStyle w:val="Numrodepage"/>
        <w:noProof/>
      </w:rPr>
      <w:t>6</w:t>
    </w:r>
    <w:r>
      <w:rPr>
        <w:rStyle w:val="Numrodepage"/>
      </w:rPr>
      <w:fldChar w:fldCharType="end"/>
    </w:r>
  </w:p>
  <w:p w14:paraId="324DAA23" w14:textId="77777777" w:rsidR="00D52444" w:rsidRDefault="00DE5B7E" w:rsidP="00800C16">
    <w:pPr>
      <w:pStyle w:val="Pieddepage"/>
      <w:jc w:val="center"/>
      <w:rPr>
        <w:b/>
        <w:lang w:val="en-GB"/>
      </w:rPr>
    </w:pPr>
    <w:r w:rsidRPr="00800C16">
      <w:rPr>
        <w:b/>
        <w:lang w:val="en-GB"/>
      </w:rPr>
      <w:t>Insolvency Office Holders in Slovakia</w:t>
    </w:r>
  </w:p>
  <w:p w14:paraId="324DAA24" w14:textId="77777777" w:rsidR="00800C16" w:rsidRPr="00800C16" w:rsidRDefault="00800C16" w:rsidP="00800C16">
    <w:pPr>
      <w:pStyle w:val="Pieddepage"/>
      <w:jc w:val="center"/>
      <w:rPr>
        <w:b/>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AA26" w14:textId="77777777" w:rsidR="00D52444" w:rsidRDefault="002D4B0D">
    <w:pPr>
      <w:pStyle w:val="Pieddepage"/>
    </w:pPr>
    <w:r>
      <w:rPr>
        <w:noProof/>
        <w:lang w:val="fr-FR" w:eastAsia="fr-FR"/>
      </w:rPr>
      <w:drawing>
        <wp:inline distT="0" distB="0" distL="0" distR="0" wp14:anchorId="324DAA2B" wp14:editId="324DAA2C">
          <wp:extent cx="5759450" cy="1136650"/>
          <wp:effectExtent l="19050" t="0" r="0" b="0"/>
          <wp:docPr id="4" name="Obrázok 3" descr="Zapati_SR_CZ_2013_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pati_SR_CZ_2013_02.bmp"/>
                  <pic:cNvPicPr/>
                </pic:nvPicPr>
                <pic:blipFill>
                  <a:blip r:embed="rId1"/>
                  <a:stretch>
                    <a:fillRect/>
                  </a:stretch>
                </pic:blipFill>
                <pic:spPr>
                  <a:xfrm>
                    <a:off x="0" y="0"/>
                    <a:ext cx="5759450" cy="1136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DAA1A" w14:textId="77777777" w:rsidR="00EF7786" w:rsidRDefault="00EF7786">
      <w:r>
        <w:separator/>
      </w:r>
    </w:p>
  </w:footnote>
  <w:footnote w:type="continuationSeparator" w:id="0">
    <w:p w14:paraId="324DAA1B" w14:textId="77777777" w:rsidR="00EF7786" w:rsidRDefault="00EF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AA1E" w14:textId="77777777" w:rsidR="00A43354" w:rsidRDefault="00A433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AA1F" w14:textId="77777777" w:rsidR="00D52444" w:rsidRDefault="00714095">
    <w:pPr>
      <w:pStyle w:val="En-tte"/>
      <w:jc w:val="right"/>
    </w:pPr>
    <w:r>
      <w:rPr>
        <w:noProof/>
        <w:lang w:val="fr-FR" w:eastAsia="fr-FR"/>
      </w:rPr>
      <w:drawing>
        <wp:inline distT="0" distB="0" distL="0" distR="0" wp14:anchorId="324DAA27" wp14:editId="324DAA28">
          <wp:extent cx="1799590" cy="241300"/>
          <wp:effectExtent l="19050" t="0" r="0" b="0"/>
          <wp:docPr id="1" name="Obrázok 2" descr="Dopis_sablo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Dopis_sablona_logo"/>
                  <pic:cNvPicPr>
                    <a:picLocks noChangeAspect="1" noChangeArrowheads="1"/>
                  </pic:cNvPicPr>
                </pic:nvPicPr>
                <pic:blipFill>
                  <a:blip r:embed="rId1"/>
                  <a:srcRect/>
                  <a:stretch>
                    <a:fillRect/>
                  </a:stretch>
                </pic:blipFill>
                <pic:spPr bwMode="auto">
                  <a:xfrm>
                    <a:off x="0" y="0"/>
                    <a:ext cx="1799590" cy="2413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AA25" w14:textId="77777777" w:rsidR="00D52444" w:rsidRDefault="00714095" w:rsidP="00615FD9">
    <w:pPr>
      <w:pStyle w:val="En-tte"/>
      <w:ind w:right="-2"/>
      <w:jc w:val="right"/>
    </w:pPr>
    <w:r>
      <w:rPr>
        <w:noProof/>
        <w:lang w:val="fr-FR" w:eastAsia="fr-FR"/>
      </w:rPr>
      <w:drawing>
        <wp:inline distT="0" distB="0" distL="0" distR="0" wp14:anchorId="324DAA29" wp14:editId="324DAA2A">
          <wp:extent cx="1799590" cy="241300"/>
          <wp:effectExtent l="19050" t="0" r="0" b="0"/>
          <wp:docPr id="2" name="Obrázok 3" descr="Dopis_sablo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Dopis_sablona_logo"/>
                  <pic:cNvPicPr>
                    <a:picLocks noChangeAspect="1" noChangeArrowheads="1"/>
                  </pic:cNvPicPr>
                </pic:nvPicPr>
                <pic:blipFill>
                  <a:blip r:embed="rId1"/>
                  <a:srcRect/>
                  <a:stretch>
                    <a:fillRect/>
                  </a:stretch>
                </pic:blipFill>
                <pic:spPr bwMode="auto">
                  <a:xfrm>
                    <a:off x="0" y="0"/>
                    <a:ext cx="1799590" cy="241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59AB"/>
    <w:multiLevelType w:val="hybridMultilevel"/>
    <w:tmpl w:val="94949C70"/>
    <w:lvl w:ilvl="0" w:tplc="04050001">
      <w:start w:val="1"/>
      <w:numFmt w:val="bullet"/>
      <w:lvlText w:val=""/>
      <w:lvlJc w:val="left"/>
      <w:pPr>
        <w:tabs>
          <w:tab w:val="num" w:pos="2844"/>
        </w:tabs>
        <w:ind w:left="2844" w:hanging="360"/>
      </w:pPr>
      <w:rPr>
        <w:rFonts w:ascii="Symbol" w:hAnsi="Symbol" w:hint="default"/>
      </w:rPr>
    </w:lvl>
    <w:lvl w:ilvl="1" w:tplc="04050003" w:tentative="1">
      <w:start w:val="1"/>
      <w:numFmt w:val="bullet"/>
      <w:lvlText w:val="o"/>
      <w:lvlJc w:val="left"/>
      <w:pPr>
        <w:tabs>
          <w:tab w:val="num" w:pos="3564"/>
        </w:tabs>
        <w:ind w:left="3564" w:hanging="360"/>
      </w:pPr>
      <w:rPr>
        <w:rFonts w:ascii="Courier New" w:hAnsi="Courier New" w:hint="default"/>
      </w:rPr>
    </w:lvl>
    <w:lvl w:ilvl="2" w:tplc="04050005" w:tentative="1">
      <w:start w:val="1"/>
      <w:numFmt w:val="bullet"/>
      <w:lvlText w:val=""/>
      <w:lvlJc w:val="left"/>
      <w:pPr>
        <w:tabs>
          <w:tab w:val="num" w:pos="4284"/>
        </w:tabs>
        <w:ind w:left="4284" w:hanging="360"/>
      </w:pPr>
      <w:rPr>
        <w:rFonts w:ascii="Wingdings" w:hAnsi="Wingdings" w:hint="default"/>
      </w:rPr>
    </w:lvl>
    <w:lvl w:ilvl="3" w:tplc="04050001" w:tentative="1">
      <w:start w:val="1"/>
      <w:numFmt w:val="bullet"/>
      <w:lvlText w:val=""/>
      <w:lvlJc w:val="left"/>
      <w:pPr>
        <w:tabs>
          <w:tab w:val="num" w:pos="5004"/>
        </w:tabs>
        <w:ind w:left="5004" w:hanging="360"/>
      </w:pPr>
      <w:rPr>
        <w:rFonts w:ascii="Symbol" w:hAnsi="Symbol" w:hint="default"/>
      </w:rPr>
    </w:lvl>
    <w:lvl w:ilvl="4" w:tplc="04050003" w:tentative="1">
      <w:start w:val="1"/>
      <w:numFmt w:val="bullet"/>
      <w:lvlText w:val="o"/>
      <w:lvlJc w:val="left"/>
      <w:pPr>
        <w:tabs>
          <w:tab w:val="num" w:pos="5724"/>
        </w:tabs>
        <w:ind w:left="5724" w:hanging="360"/>
      </w:pPr>
      <w:rPr>
        <w:rFonts w:ascii="Courier New" w:hAnsi="Courier New" w:hint="default"/>
      </w:rPr>
    </w:lvl>
    <w:lvl w:ilvl="5" w:tplc="04050005" w:tentative="1">
      <w:start w:val="1"/>
      <w:numFmt w:val="bullet"/>
      <w:lvlText w:val=""/>
      <w:lvlJc w:val="left"/>
      <w:pPr>
        <w:tabs>
          <w:tab w:val="num" w:pos="6444"/>
        </w:tabs>
        <w:ind w:left="6444" w:hanging="360"/>
      </w:pPr>
      <w:rPr>
        <w:rFonts w:ascii="Wingdings" w:hAnsi="Wingdings" w:hint="default"/>
      </w:rPr>
    </w:lvl>
    <w:lvl w:ilvl="6" w:tplc="04050001" w:tentative="1">
      <w:start w:val="1"/>
      <w:numFmt w:val="bullet"/>
      <w:lvlText w:val=""/>
      <w:lvlJc w:val="left"/>
      <w:pPr>
        <w:tabs>
          <w:tab w:val="num" w:pos="7164"/>
        </w:tabs>
        <w:ind w:left="7164" w:hanging="360"/>
      </w:pPr>
      <w:rPr>
        <w:rFonts w:ascii="Symbol" w:hAnsi="Symbol" w:hint="default"/>
      </w:rPr>
    </w:lvl>
    <w:lvl w:ilvl="7" w:tplc="04050003" w:tentative="1">
      <w:start w:val="1"/>
      <w:numFmt w:val="bullet"/>
      <w:lvlText w:val="o"/>
      <w:lvlJc w:val="left"/>
      <w:pPr>
        <w:tabs>
          <w:tab w:val="num" w:pos="7884"/>
        </w:tabs>
        <w:ind w:left="7884" w:hanging="360"/>
      </w:pPr>
      <w:rPr>
        <w:rFonts w:ascii="Courier New" w:hAnsi="Courier New" w:hint="default"/>
      </w:rPr>
    </w:lvl>
    <w:lvl w:ilvl="8" w:tplc="04050005" w:tentative="1">
      <w:start w:val="1"/>
      <w:numFmt w:val="bullet"/>
      <w:lvlText w:val=""/>
      <w:lvlJc w:val="left"/>
      <w:pPr>
        <w:tabs>
          <w:tab w:val="num" w:pos="8604"/>
        </w:tabs>
        <w:ind w:left="8604" w:hanging="360"/>
      </w:pPr>
      <w:rPr>
        <w:rFonts w:ascii="Wingdings" w:hAnsi="Wingdings" w:hint="default"/>
      </w:rPr>
    </w:lvl>
  </w:abstractNum>
  <w:abstractNum w:abstractNumId="1" w15:restartNumberingAfterBreak="0">
    <w:nsid w:val="1042631E"/>
    <w:multiLevelType w:val="hybridMultilevel"/>
    <w:tmpl w:val="9170F65C"/>
    <w:lvl w:ilvl="0" w:tplc="E4065DD0">
      <w:start w:val="1"/>
      <w:numFmt w:val="lowerLetter"/>
      <w:lvlText w:val="%1)"/>
      <w:lvlJc w:val="left"/>
      <w:pPr>
        <w:ind w:left="1068" w:hanging="360"/>
      </w:pPr>
      <w:rPr>
        <w:rFonts w:hint="default"/>
        <w:b/>
        <w:i/>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9947C8A"/>
    <w:multiLevelType w:val="hybridMultilevel"/>
    <w:tmpl w:val="4DD2D9D6"/>
    <w:lvl w:ilvl="0" w:tplc="4C9206E2">
      <w:start w:val="14"/>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AFD0B1A"/>
    <w:multiLevelType w:val="hybridMultilevel"/>
    <w:tmpl w:val="301CF4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BA3780D"/>
    <w:multiLevelType w:val="hybridMultilevel"/>
    <w:tmpl w:val="BD829F06"/>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CE077E9"/>
    <w:multiLevelType w:val="hybridMultilevel"/>
    <w:tmpl w:val="F72AA154"/>
    <w:lvl w:ilvl="0" w:tplc="4C9206E2">
      <w:start w:val="14"/>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CE93F9B"/>
    <w:multiLevelType w:val="hybridMultilevel"/>
    <w:tmpl w:val="EEC48C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3F4661"/>
    <w:multiLevelType w:val="hybridMultilevel"/>
    <w:tmpl w:val="5596E6D0"/>
    <w:lvl w:ilvl="0" w:tplc="B98EFA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7532604"/>
    <w:multiLevelType w:val="hybridMultilevel"/>
    <w:tmpl w:val="5B3EF2BE"/>
    <w:lvl w:ilvl="0" w:tplc="04050017">
      <w:start w:val="1"/>
      <w:numFmt w:val="lowerLetter"/>
      <w:lvlText w:val="%1)"/>
      <w:lvlJc w:val="left"/>
      <w:pPr>
        <w:tabs>
          <w:tab w:val="num" w:pos="2568"/>
        </w:tabs>
        <w:ind w:left="2568" w:hanging="360"/>
      </w:pPr>
    </w:lvl>
    <w:lvl w:ilvl="1" w:tplc="04050019" w:tentative="1">
      <w:start w:val="1"/>
      <w:numFmt w:val="lowerLetter"/>
      <w:lvlText w:val="%2."/>
      <w:lvlJc w:val="left"/>
      <w:pPr>
        <w:tabs>
          <w:tab w:val="num" w:pos="3288"/>
        </w:tabs>
        <w:ind w:left="3288" w:hanging="360"/>
      </w:pPr>
    </w:lvl>
    <w:lvl w:ilvl="2" w:tplc="0405001B" w:tentative="1">
      <w:start w:val="1"/>
      <w:numFmt w:val="lowerRoman"/>
      <w:lvlText w:val="%3."/>
      <w:lvlJc w:val="right"/>
      <w:pPr>
        <w:tabs>
          <w:tab w:val="num" w:pos="4008"/>
        </w:tabs>
        <w:ind w:left="4008" w:hanging="180"/>
      </w:pPr>
    </w:lvl>
    <w:lvl w:ilvl="3" w:tplc="0405000F" w:tentative="1">
      <w:start w:val="1"/>
      <w:numFmt w:val="decimal"/>
      <w:lvlText w:val="%4."/>
      <w:lvlJc w:val="left"/>
      <w:pPr>
        <w:tabs>
          <w:tab w:val="num" w:pos="4728"/>
        </w:tabs>
        <w:ind w:left="4728" w:hanging="360"/>
      </w:pPr>
    </w:lvl>
    <w:lvl w:ilvl="4" w:tplc="04050019" w:tentative="1">
      <w:start w:val="1"/>
      <w:numFmt w:val="lowerLetter"/>
      <w:lvlText w:val="%5."/>
      <w:lvlJc w:val="left"/>
      <w:pPr>
        <w:tabs>
          <w:tab w:val="num" w:pos="5448"/>
        </w:tabs>
        <w:ind w:left="5448" w:hanging="360"/>
      </w:pPr>
    </w:lvl>
    <w:lvl w:ilvl="5" w:tplc="0405001B" w:tentative="1">
      <w:start w:val="1"/>
      <w:numFmt w:val="lowerRoman"/>
      <w:lvlText w:val="%6."/>
      <w:lvlJc w:val="right"/>
      <w:pPr>
        <w:tabs>
          <w:tab w:val="num" w:pos="6168"/>
        </w:tabs>
        <w:ind w:left="6168" w:hanging="180"/>
      </w:pPr>
    </w:lvl>
    <w:lvl w:ilvl="6" w:tplc="0405000F" w:tentative="1">
      <w:start w:val="1"/>
      <w:numFmt w:val="decimal"/>
      <w:lvlText w:val="%7."/>
      <w:lvlJc w:val="left"/>
      <w:pPr>
        <w:tabs>
          <w:tab w:val="num" w:pos="6888"/>
        </w:tabs>
        <w:ind w:left="6888" w:hanging="360"/>
      </w:pPr>
    </w:lvl>
    <w:lvl w:ilvl="7" w:tplc="04050019" w:tentative="1">
      <w:start w:val="1"/>
      <w:numFmt w:val="lowerLetter"/>
      <w:lvlText w:val="%8."/>
      <w:lvlJc w:val="left"/>
      <w:pPr>
        <w:tabs>
          <w:tab w:val="num" w:pos="7608"/>
        </w:tabs>
        <w:ind w:left="7608" w:hanging="360"/>
      </w:pPr>
    </w:lvl>
    <w:lvl w:ilvl="8" w:tplc="0405001B" w:tentative="1">
      <w:start w:val="1"/>
      <w:numFmt w:val="lowerRoman"/>
      <w:lvlText w:val="%9."/>
      <w:lvlJc w:val="right"/>
      <w:pPr>
        <w:tabs>
          <w:tab w:val="num" w:pos="8328"/>
        </w:tabs>
        <w:ind w:left="8328" w:hanging="180"/>
      </w:pPr>
    </w:lvl>
  </w:abstractNum>
  <w:abstractNum w:abstractNumId="9" w15:restartNumberingAfterBreak="0">
    <w:nsid w:val="41284C9A"/>
    <w:multiLevelType w:val="hybridMultilevel"/>
    <w:tmpl w:val="C71042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9950FF0"/>
    <w:multiLevelType w:val="hybridMultilevel"/>
    <w:tmpl w:val="2CB0BB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513B028A"/>
    <w:multiLevelType w:val="hybridMultilevel"/>
    <w:tmpl w:val="1E16A46C"/>
    <w:lvl w:ilvl="0" w:tplc="0405000F">
      <w:start w:val="1"/>
      <w:numFmt w:val="decimal"/>
      <w:lvlText w:val="%1."/>
      <w:lvlJc w:val="left"/>
      <w:pPr>
        <w:tabs>
          <w:tab w:val="num" w:pos="2136"/>
        </w:tabs>
        <w:ind w:left="2136" w:hanging="360"/>
      </w:pPr>
    </w:lvl>
    <w:lvl w:ilvl="1" w:tplc="ACCC9CFC">
      <w:start w:val="1"/>
      <w:numFmt w:val="bullet"/>
      <w:lvlText w:val=""/>
      <w:lvlJc w:val="left"/>
      <w:pPr>
        <w:tabs>
          <w:tab w:val="num" w:pos="2856"/>
        </w:tabs>
        <w:ind w:left="2856" w:hanging="360"/>
      </w:pPr>
      <w:rPr>
        <w:rFonts w:ascii="Symbol" w:hAnsi="Symbol" w:hint="default"/>
        <w:color w:val="auto"/>
      </w:rPr>
    </w:lvl>
    <w:lvl w:ilvl="2" w:tplc="6C9E6CE0">
      <w:start w:val="2"/>
      <w:numFmt w:val="bullet"/>
      <w:lvlText w:val="-"/>
      <w:lvlJc w:val="left"/>
      <w:pPr>
        <w:tabs>
          <w:tab w:val="num" w:pos="3756"/>
        </w:tabs>
        <w:ind w:left="3756" w:hanging="360"/>
      </w:pPr>
      <w:rPr>
        <w:rFonts w:ascii="Times New Roman" w:eastAsia="Times New Roman" w:hAnsi="Times New Roman" w:cs="Times New Roman" w:hint="default"/>
      </w:r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2" w15:restartNumberingAfterBreak="0">
    <w:nsid w:val="56B107B8"/>
    <w:multiLevelType w:val="hybridMultilevel"/>
    <w:tmpl w:val="94949C70"/>
    <w:lvl w:ilvl="0" w:tplc="0405000B">
      <w:start w:val="1"/>
      <w:numFmt w:val="bullet"/>
      <w:lvlText w:val=""/>
      <w:lvlJc w:val="left"/>
      <w:pPr>
        <w:tabs>
          <w:tab w:val="num" w:pos="2844"/>
        </w:tabs>
        <w:ind w:left="2844" w:hanging="360"/>
      </w:pPr>
      <w:rPr>
        <w:rFonts w:ascii="Wingdings" w:hAnsi="Wingdings" w:hint="default"/>
      </w:rPr>
    </w:lvl>
    <w:lvl w:ilvl="1" w:tplc="04050003" w:tentative="1">
      <w:start w:val="1"/>
      <w:numFmt w:val="bullet"/>
      <w:lvlText w:val="o"/>
      <w:lvlJc w:val="left"/>
      <w:pPr>
        <w:tabs>
          <w:tab w:val="num" w:pos="3564"/>
        </w:tabs>
        <w:ind w:left="3564" w:hanging="360"/>
      </w:pPr>
      <w:rPr>
        <w:rFonts w:ascii="Courier New" w:hAnsi="Courier New" w:hint="default"/>
      </w:rPr>
    </w:lvl>
    <w:lvl w:ilvl="2" w:tplc="04050005" w:tentative="1">
      <w:start w:val="1"/>
      <w:numFmt w:val="bullet"/>
      <w:lvlText w:val=""/>
      <w:lvlJc w:val="left"/>
      <w:pPr>
        <w:tabs>
          <w:tab w:val="num" w:pos="4284"/>
        </w:tabs>
        <w:ind w:left="4284" w:hanging="360"/>
      </w:pPr>
      <w:rPr>
        <w:rFonts w:ascii="Wingdings" w:hAnsi="Wingdings" w:hint="default"/>
      </w:rPr>
    </w:lvl>
    <w:lvl w:ilvl="3" w:tplc="04050001" w:tentative="1">
      <w:start w:val="1"/>
      <w:numFmt w:val="bullet"/>
      <w:lvlText w:val=""/>
      <w:lvlJc w:val="left"/>
      <w:pPr>
        <w:tabs>
          <w:tab w:val="num" w:pos="5004"/>
        </w:tabs>
        <w:ind w:left="5004" w:hanging="360"/>
      </w:pPr>
      <w:rPr>
        <w:rFonts w:ascii="Symbol" w:hAnsi="Symbol" w:hint="default"/>
      </w:rPr>
    </w:lvl>
    <w:lvl w:ilvl="4" w:tplc="04050003" w:tentative="1">
      <w:start w:val="1"/>
      <w:numFmt w:val="bullet"/>
      <w:lvlText w:val="o"/>
      <w:lvlJc w:val="left"/>
      <w:pPr>
        <w:tabs>
          <w:tab w:val="num" w:pos="5724"/>
        </w:tabs>
        <w:ind w:left="5724" w:hanging="360"/>
      </w:pPr>
      <w:rPr>
        <w:rFonts w:ascii="Courier New" w:hAnsi="Courier New" w:hint="default"/>
      </w:rPr>
    </w:lvl>
    <w:lvl w:ilvl="5" w:tplc="04050005" w:tentative="1">
      <w:start w:val="1"/>
      <w:numFmt w:val="bullet"/>
      <w:lvlText w:val=""/>
      <w:lvlJc w:val="left"/>
      <w:pPr>
        <w:tabs>
          <w:tab w:val="num" w:pos="6444"/>
        </w:tabs>
        <w:ind w:left="6444" w:hanging="360"/>
      </w:pPr>
      <w:rPr>
        <w:rFonts w:ascii="Wingdings" w:hAnsi="Wingdings" w:hint="default"/>
      </w:rPr>
    </w:lvl>
    <w:lvl w:ilvl="6" w:tplc="04050001" w:tentative="1">
      <w:start w:val="1"/>
      <w:numFmt w:val="bullet"/>
      <w:lvlText w:val=""/>
      <w:lvlJc w:val="left"/>
      <w:pPr>
        <w:tabs>
          <w:tab w:val="num" w:pos="7164"/>
        </w:tabs>
        <w:ind w:left="7164" w:hanging="360"/>
      </w:pPr>
      <w:rPr>
        <w:rFonts w:ascii="Symbol" w:hAnsi="Symbol" w:hint="default"/>
      </w:rPr>
    </w:lvl>
    <w:lvl w:ilvl="7" w:tplc="04050003" w:tentative="1">
      <w:start w:val="1"/>
      <w:numFmt w:val="bullet"/>
      <w:lvlText w:val="o"/>
      <w:lvlJc w:val="left"/>
      <w:pPr>
        <w:tabs>
          <w:tab w:val="num" w:pos="7884"/>
        </w:tabs>
        <w:ind w:left="7884" w:hanging="360"/>
      </w:pPr>
      <w:rPr>
        <w:rFonts w:ascii="Courier New" w:hAnsi="Courier New" w:hint="default"/>
      </w:rPr>
    </w:lvl>
    <w:lvl w:ilvl="8" w:tplc="04050005" w:tentative="1">
      <w:start w:val="1"/>
      <w:numFmt w:val="bullet"/>
      <w:lvlText w:val=""/>
      <w:lvlJc w:val="left"/>
      <w:pPr>
        <w:tabs>
          <w:tab w:val="num" w:pos="8604"/>
        </w:tabs>
        <w:ind w:left="8604" w:hanging="360"/>
      </w:pPr>
      <w:rPr>
        <w:rFonts w:ascii="Wingdings" w:hAnsi="Wingdings" w:hint="default"/>
      </w:rPr>
    </w:lvl>
  </w:abstractNum>
  <w:abstractNum w:abstractNumId="13" w15:restartNumberingAfterBreak="0">
    <w:nsid w:val="5AB654AC"/>
    <w:multiLevelType w:val="hybridMultilevel"/>
    <w:tmpl w:val="0AD00A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0F41947"/>
    <w:multiLevelType w:val="hybridMultilevel"/>
    <w:tmpl w:val="C1B26824"/>
    <w:lvl w:ilvl="0" w:tplc="7274504A">
      <w:numFmt w:val="bullet"/>
      <w:lvlText w:val=""/>
      <w:lvlJc w:val="left"/>
      <w:pPr>
        <w:tabs>
          <w:tab w:val="num" w:pos="2865"/>
        </w:tabs>
        <w:ind w:left="2865" w:hanging="705"/>
      </w:pPr>
      <w:rPr>
        <w:rFonts w:ascii="Symbol" w:eastAsia="Times New Roman" w:hAnsi="Symbol" w:cs="Times New Roman" w:hint="default"/>
      </w:rPr>
    </w:lvl>
    <w:lvl w:ilvl="1" w:tplc="ACCC9CFC">
      <w:start w:val="1"/>
      <w:numFmt w:val="bullet"/>
      <w:lvlText w:val=""/>
      <w:lvlJc w:val="left"/>
      <w:pPr>
        <w:tabs>
          <w:tab w:val="num" w:pos="3240"/>
        </w:tabs>
        <w:ind w:left="3240" w:hanging="360"/>
      </w:pPr>
      <w:rPr>
        <w:rFonts w:ascii="Symbol" w:hAnsi="Symbol" w:hint="default"/>
        <w:color w:val="auto"/>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76A16222"/>
    <w:multiLevelType w:val="hybridMultilevel"/>
    <w:tmpl w:val="EF74CFE2"/>
    <w:lvl w:ilvl="0" w:tplc="7274504A">
      <w:numFmt w:val="bullet"/>
      <w:lvlText w:val=""/>
      <w:lvlJc w:val="left"/>
      <w:pPr>
        <w:tabs>
          <w:tab w:val="num" w:pos="1065"/>
        </w:tabs>
        <w:ind w:left="1065" w:hanging="705"/>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2760F1"/>
    <w:multiLevelType w:val="hybridMultilevel"/>
    <w:tmpl w:val="AA4A56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5"/>
  </w:num>
  <w:num w:numId="3">
    <w:abstractNumId w:val="11"/>
  </w:num>
  <w:num w:numId="4">
    <w:abstractNumId w:val="16"/>
  </w:num>
  <w:num w:numId="5">
    <w:abstractNumId w:val="14"/>
  </w:num>
  <w:num w:numId="6">
    <w:abstractNumId w:val="12"/>
  </w:num>
  <w:num w:numId="7">
    <w:abstractNumId w:val="0"/>
  </w:num>
  <w:num w:numId="8">
    <w:abstractNumId w:val="4"/>
  </w:num>
  <w:num w:numId="9">
    <w:abstractNumId w:val="6"/>
  </w:num>
  <w:num w:numId="10">
    <w:abstractNumId w:val="13"/>
  </w:num>
  <w:num w:numId="11">
    <w:abstractNumId w:val="9"/>
  </w:num>
  <w:num w:numId="12">
    <w:abstractNumId w:val="3"/>
  </w:num>
  <w:num w:numId="13">
    <w:abstractNumId w:val="1"/>
  </w:num>
  <w:num w:numId="14">
    <w:abstractNumId w:val="10"/>
  </w:num>
  <w:num w:numId="15">
    <w:abstractNumId w:val="2"/>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n-US" w:vendorID="64" w:dllVersion="131078" w:nlCheck="1" w:checkStyle="1"/>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0"/>
  <w:activeWritingStyle w:appName="MSWord" w:lang="en-US" w:vendorID="64" w:dllVersion="131077" w:nlCheck="1" w:checkStyle="1"/>
  <w:activeWritingStyle w:appName="MSWord" w:lang="en-GB" w:vendorID="64" w:dllVersion="131077" w:nlCheck="1" w:checkStyle="1"/>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1A130C"/>
    <w:rsid w:val="000508B3"/>
    <w:rsid w:val="000647FC"/>
    <w:rsid w:val="00083BB8"/>
    <w:rsid w:val="000A3D14"/>
    <w:rsid w:val="000C6679"/>
    <w:rsid w:val="000C6707"/>
    <w:rsid w:val="000D29B2"/>
    <w:rsid w:val="000E3898"/>
    <w:rsid w:val="000F1FB6"/>
    <w:rsid w:val="001140DB"/>
    <w:rsid w:val="00141846"/>
    <w:rsid w:val="00166040"/>
    <w:rsid w:val="00174FA9"/>
    <w:rsid w:val="001A130C"/>
    <w:rsid w:val="001F36E9"/>
    <w:rsid w:val="00201D33"/>
    <w:rsid w:val="0021447A"/>
    <w:rsid w:val="002158CD"/>
    <w:rsid w:val="002206FA"/>
    <w:rsid w:val="00235574"/>
    <w:rsid w:val="00241830"/>
    <w:rsid w:val="0027110D"/>
    <w:rsid w:val="00274A74"/>
    <w:rsid w:val="00285923"/>
    <w:rsid w:val="002A5823"/>
    <w:rsid w:val="002B05C5"/>
    <w:rsid w:val="002B0EDB"/>
    <w:rsid w:val="002B6F6A"/>
    <w:rsid w:val="002D05DF"/>
    <w:rsid w:val="002D23EA"/>
    <w:rsid w:val="002D4B0D"/>
    <w:rsid w:val="002F4C07"/>
    <w:rsid w:val="00310457"/>
    <w:rsid w:val="003413AB"/>
    <w:rsid w:val="00357DCC"/>
    <w:rsid w:val="00357F93"/>
    <w:rsid w:val="00361028"/>
    <w:rsid w:val="0036109A"/>
    <w:rsid w:val="0037514F"/>
    <w:rsid w:val="00396CFC"/>
    <w:rsid w:val="003A1265"/>
    <w:rsid w:val="003A223D"/>
    <w:rsid w:val="003C1D11"/>
    <w:rsid w:val="003C1FF6"/>
    <w:rsid w:val="003F7167"/>
    <w:rsid w:val="004015FC"/>
    <w:rsid w:val="00425885"/>
    <w:rsid w:val="004279AC"/>
    <w:rsid w:val="00451769"/>
    <w:rsid w:val="0046196E"/>
    <w:rsid w:val="0046321C"/>
    <w:rsid w:val="0046346E"/>
    <w:rsid w:val="004706F6"/>
    <w:rsid w:val="004910A6"/>
    <w:rsid w:val="004916E5"/>
    <w:rsid w:val="00495B2E"/>
    <w:rsid w:val="00495C3C"/>
    <w:rsid w:val="004C76DD"/>
    <w:rsid w:val="00502D94"/>
    <w:rsid w:val="00522DEF"/>
    <w:rsid w:val="005403B2"/>
    <w:rsid w:val="005471B5"/>
    <w:rsid w:val="00556192"/>
    <w:rsid w:val="00570E3A"/>
    <w:rsid w:val="00572DEE"/>
    <w:rsid w:val="00583C01"/>
    <w:rsid w:val="005F43E8"/>
    <w:rsid w:val="0061296D"/>
    <w:rsid w:val="00615FD9"/>
    <w:rsid w:val="006312E8"/>
    <w:rsid w:val="00641BF3"/>
    <w:rsid w:val="00656C8A"/>
    <w:rsid w:val="00663BBE"/>
    <w:rsid w:val="006A0175"/>
    <w:rsid w:val="006D4955"/>
    <w:rsid w:val="006E2AF7"/>
    <w:rsid w:val="006F093F"/>
    <w:rsid w:val="006F31EB"/>
    <w:rsid w:val="006F3353"/>
    <w:rsid w:val="00714095"/>
    <w:rsid w:val="0077347C"/>
    <w:rsid w:val="00783E0F"/>
    <w:rsid w:val="007909E9"/>
    <w:rsid w:val="007B61C3"/>
    <w:rsid w:val="007C272B"/>
    <w:rsid w:val="007F4AA7"/>
    <w:rsid w:val="00800C16"/>
    <w:rsid w:val="00812EB9"/>
    <w:rsid w:val="00841248"/>
    <w:rsid w:val="0084499F"/>
    <w:rsid w:val="00845603"/>
    <w:rsid w:val="00860CC2"/>
    <w:rsid w:val="008941B6"/>
    <w:rsid w:val="0089490B"/>
    <w:rsid w:val="008C130C"/>
    <w:rsid w:val="008C3222"/>
    <w:rsid w:val="008E25B4"/>
    <w:rsid w:val="00942FDF"/>
    <w:rsid w:val="00944EDE"/>
    <w:rsid w:val="0098655D"/>
    <w:rsid w:val="009A5E2D"/>
    <w:rsid w:val="009A63B3"/>
    <w:rsid w:val="009C183C"/>
    <w:rsid w:val="009C7227"/>
    <w:rsid w:val="009D4A56"/>
    <w:rsid w:val="009E29C6"/>
    <w:rsid w:val="009F5EE2"/>
    <w:rsid w:val="00A02360"/>
    <w:rsid w:val="00A43354"/>
    <w:rsid w:val="00A60990"/>
    <w:rsid w:val="00A631E5"/>
    <w:rsid w:val="00A667B0"/>
    <w:rsid w:val="00A901F5"/>
    <w:rsid w:val="00AA5CE1"/>
    <w:rsid w:val="00AC5D8A"/>
    <w:rsid w:val="00B03AC5"/>
    <w:rsid w:val="00B06DAB"/>
    <w:rsid w:val="00B3063E"/>
    <w:rsid w:val="00B409DA"/>
    <w:rsid w:val="00B5798D"/>
    <w:rsid w:val="00BB2331"/>
    <w:rsid w:val="00BB60DC"/>
    <w:rsid w:val="00BE7DA7"/>
    <w:rsid w:val="00C13C64"/>
    <w:rsid w:val="00C23501"/>
    <w:rsid w:val="00C42CC2"/>
    <w:rsid w:val="00C516E8"/>
    <w:rsid w:val="00C7333F"/>
    <w:rsid w:val="00C7480C"/>
    <w:rsid w:val="00CE027F"/>
    <w:rsid w:val="00CF6EF0"/>
    <w:rsid w:val="00D00702"/>
    <w:rsid w:val="00D00D94"/>
    <w:rsid w:val="00D22678"/>
    <w:rsid w:val="00D226D1"/>
    <w:rsid w:val="00D31F82"/>
    <w:rsid w:val="00D34BA0"/>
    <w:rsid w:val="00D52444"/>
    <w:rsid w:val="00D548EF"/>
    <w:rsid w:val="00DA7962"/>
    <w:rsid w:val="00DA7CED"/>
    <w:rsid w:val="00DB2F36"/>
    <w:rsid w:val="00DE138F"/>
    <w:rsid w:val="00DE5B7E"/>
    <w:rsid w:val="00E24B60"/>
    <w:rsid w:val="00E43D84"/>
    <w:rsid w:val="00E81C5F"/>
    <w:rsid w:val="00E85409"/>
    <w:rsid w:val="00EF7786"/>
    <w:rsid w:val="00F21021"/>
    <w:rsid w:val="00F23468"/>
    <w:rsid w:val="00F254F4"/>
    <w:rsid w:val="00FA330A"/>
    <w:rsid w:val="00FB1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4D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15FC"/>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rsid w:val="00D226D1"/>
    <w:pPr>
      <w:keepNext/>
      <w:jc w:val="center"/>
      <w:outlineLvl w:val="0"/>
    </w:pPr>
    <w:rPr>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D226D1"/>
    <w:pPr>
      <w:tabs>
        <w:tab w:val="center" w:pos="4536"/>
        <w:tab w:val="right" w:pos="9072"/>
      </w:tabs>
    </w:pPr>
  </w:style>
  <w:style w:type="paragraph" w:styleId="Pieddepage">
    <w:name w:val="footer"/>
    <w:basedOn w:val="Normal"/>
    <w:semiHidden/>
    <w:rsid w:val="00D226D1"/>
    <w:pPr>
      <w:tabs>
        <w:tab w:val="center" w:pos="4536"/>
        <w:tab w:val="right" w:pos="9072"/>
      </w:tabs>
    </w:pPr>
    <w:rPr>
      <w:sz w:val="16"/>
    </w:rPr>
  </w:style>
  <w:style w:type="character" w:styleId="Numrodepage">
    <w:name w:val="page number"/>
    <w:basedOn w:val="Policepardfaut"/>
    <w:semiHidden/>
    <w:rsid w:val="00D226D1"/>
  </w:style>
  <w:style w:type="paragraph" w:styleId="Titre">
    <w:name w:val="Title"/>
    <w:basedOn w:val="Normal"/>
    <w:qFormat/>
    <w:rsid w:val="00D226D1"/>
    <w:pPr>
      <w:spacing w:line="240" w:lineRule="atLeast"/>
      <w:jc w:val="center"/>
    </w:pPr>
    <w:rPr>
      <w:b/>
      <w:sz w:val="28"/>
      <w:lang w:val="en-GB"/>
    </w:rPr>
  </w:style>
  <w:style w:type="paragraph" w:styleId="Retraitcorpsdetexte">
    <w:name w:val="Body Text Indent"/>
    <w:basedOn w:val="Normal"/>
    <w:semiHidden/>
    <w:rsid w:val="00D226D1"/>
    <w:pPr>
      <w:spacing w:line="240" w:lineRule="atLeast"/>
      <w:ind w:left="2208"/>
      <w:jc w:val="both"/>
    </w:pPr>
    <w:rPr>
      <w:lang w:val="en-US"/>
    </w:rPr>
  </w:style>
  <w:style w:type="character" w:customStyle="1" w:styleId="DeltaViewInsertion">
    <w:name w:val="DeltaView Insertion"/>
    <w:rsid w:val="00D226D1"/>
    <w:rPr>
      <w:color w:val="0000FF"/>
      <w:spacing w:val="0"/>
      <w:u w:val="double"/>
    </w:rPr>
  </w:style>
  <w:style w:type="character" w:customStyle="1" w:styleId="DeltaViewDeletion">
    <w:name w:val="DeltaView Deletion"/>
    <w:rsid w:val="00D226D1"/>
    <w:rPr>
      <w:strike/>
      <w:color w:val="FF0000"/>
      <w:spacing w:val="0"/>
    </w:rPr>
  </w:style>
  <w:style w:type="table" w:styleId="Grilledutableau">
    <w:name w:val="Table Grid"/>
    <w:basedOn w:val="TableauNormal"/>
    <w:uiPriority w:val="59"/>
    <w:rsid w:val="00D2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E25B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25B4"/>
    <w:rPr>
      <w:rFonts w:ascii="Tahoma" w:hAnsi="Tahoma" w:cs="Tahoma"/>
      <w:sz w:val="16"/>
      <w:szCs w:val="16"/>
      <w:lang w:val="cs-CZ" w:eastAsia="cs-CZ"/>
    </w:rPr>
  </w:style>
  <w:style w:type="paragraph" w:styleId="Paragraphedeliste">
    <w:name w:val="List Paragraph"/>
    <w:basedOn w:val="Normal"/>
    <w:uiPriority w:val="34"/>
    <w:qFormat/>
    <w:rsid w:val="00615FD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666426">
      <w:bodyDiv w:val="1"/>
      <w:marLeft w:val="0"/>
      <w:marRight w:val="0"/>
      <w:marTop w:val="0"/>
      <w:marBottom w:val="0"/>
      <w:divBdr>
        <w:top w:val="none" w:sz="0" w:space="0" w:color="auto"/>
        <w:left w:val="none" w:sz="0" w:space="0" w:color="auto"/>
        <w:bottom w:val="none" w:sz="0" w:space="0" w:color="auto"/>
        <w:right w:val="none" w:sz="0" w:space="0" w:color="auto"/>
      </w:divBdr>
    </w:div>
    <w:div w:id="20087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8699</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10312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2016-01-29T22:17:00Z</dcterms:created>
  <dcterms:modified xsi:type="dcterms:W3CDTF">2016-09-10T23:19:00Z</dcterms:modified>
</cp:coreProperties>
</file>